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AF68" w14:textId="4B2D6C0E" w:rsidR="006A7D59" w:rsidRPr="000B367F" w:rsidRDefault="006A7D59" w:rsidP="006A7D59">
      <w:pPr>
        <w:pStyle w:val="Heading1"/>
        <w:shd w:val="clear" w:color="auto" w:fill="auto"/>
      </w:pPr>
      <w:bookmarkStart w:id="0" w:name="_GoBack"/>
      <w:bookmarkEnd w:id="0"/>
      <w:r w:rsidRPr="006C322E">
        <w:t xml:space="preserve">APPOINTMENTS </w:t>
      </w:r>
      <w:r>
        <w:t xml:space="preserve">STANDARD OPERATING </w:t>
      </w:r>
      <w:r w:rsidRPr="00AE70BA">
        <w:t>PROCEDURE</w:t>
      </w:r>
    </w:p>
    <w:p w14:paraId="3195F67C" w14:textId="77777777" w:rsidR="006A7D59" w:rsidRPr="00775D3A" w:rsidRDefault="006A7D59" w:rsidP="006A7D59">
      <w:pPr>
        <w:pStyle w:val="Heading2"/>
      </w:pPr>
      <w:bookmarkStart w:id="1" w:name="_Toc489874785"/>
      <w:r>
        <w:t xml:space="preserve">Standard Operating Procedure </w:t>
      </w:r>
      <w:r w:rsidRPr="00775D3A">
        <w:t>Purpose</w:t>
      </w:r>
      <w:bookmarkEnd w:id="1"/>
    </w:p>
    <w:p w14:paraId="23BF21AC" w14:textId="69D97493" w:rsidR="000E1974" w:rsidRDefault="000E1974" w:rsidP="000E1974">
      <w:pPr>
        <w:pStyle w:val="PolicyBodyText"/>
        <w:spacing w:before="120" w:after="120" w:line="240" w:lineRule="auto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An appointment is a formal action whereby a person appoints a specified person, a person occupying a position number, a person exercising the functions of a position, or a class of people to a </w:t>
      </w:r>
      <w:proofErr w:type="gramStart"/>
      <w:r>
        <w:rPr>
          <w:rFonts w:asciiTheme="minorHAnsi" w:hAnsiTheme="minorHAnsi" w:cstheme="minorHAnsi"/>
          <w:lang w:val="en-AU"/>
        </w:rPr>
        <w:t>particular position</w:t>
      </w:r>
      <w:proofErr w:type="gramEnd"/>
      <w:r>
        <w:rPr>
          <w:rFonts w:asciiTheme="minorHAnsi" w:hAnsiTheme="minorHAnsi" w:cstheme="minorHAnsi"/>
          <w:lang w:val="en-AU"/>
        </w:rPr>
        <w:t xml:space="preserve"> or role. Once appointed, the appointee may then exercise certain functions as part of that appointment.</w:t>
      </w:r>
    </w:p>
    <w:p w14:paraId="7F10C3E5" w14:textId="3C6DA704" w:rsidR="000E1974" w:rsidRDefault="000E1974" w:rsidP="000E1974">
      <w:r>
        <w:t>This Standard Operating Procedure details the procedures for making appointments within the EPSDD portfolio, to ensure that:</w:t>
      </w:r>
    </w:p>
    <w:p w14:paraId="41382A7E" w14:textId="486B7CC8" w:rsidR="000E1974" w:rsidRDefault="000E1974" w:rsidP="000E1974">
      <w:pPr>
        <w:pStyle w:val="ListParagraph"/>
        <w:numPr>
          <w:ilvl w:val="0"/>
          <w:numId w:val="13"/>
        </w:numPr>
      </w:pPr>
      <w:r>
        <w:t>Appointment instrument</w:t>
      </w:r>
      <w:r w:rsidR="00E611B7">
        <w:t>s</w:t>
      </w:r>
      <w:r>
        <w:t xml:space="preserve"> are drafted correctly; and </w:t>
      </w:r>
    </w:p>
    <w:p w14:paraId="22C2F8D2" w14:textId="7ECDA1B0" w:rsidR="000E1974" w:rsidRDefault="000E1974" w:rsidP="000E1974">
      <w:pPr>
        <w:pStyle w:val="ListParagraph"/>
        <w:numPr>
          <w:ilvl w:val="0"/>
          <w:numId w:val="13"/>
        </w:numPr>
      </w:pPr>
      <w:r>
        <w:t>The appointment is in accordance with relevant legislation; and</w:t>
      </w:r>
    </w:p>
    <w:p w14:paraId="2CD049FC" w14:textId="0942DC0E" w:rsidR="000E1974" w:rsidRDefault="000E1974" w:rsidP="000E1974">
      <w:pPr>
        <w:pStyle w:val="ListParagraph"/>
        <w:numPr>
          <w:ilvl w:val="0"/>
          <w:numId w:val="13"/>
        </w:numPr>
      </w:pPr>
      <w:r>
        <w:t>The formal appointment instrument is in in effect prior to any decision-making being exercised by the appointee.</w:t>
      </w:r>
    </w:p>
    <w:p w14:paraId="2BD4427C" w14:textId="6A92FB49" w:rsidR="00E87458" w:rsidRPr="00E87458" w:rsidRDefault="00E87458" w:rsidP="00E87458">
      <w:pPr>
        <w:pStyle w:val="PolicyBodyText"/>
        <w:spacing w:before="120" w:after="120" w:line="240" w:lineRule="auto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Part 19.3 of the </w:t>
      </w:r>
      <w:r>
        <w:rPr>
          <w:rFonts w:asciiTheme="minorHAnsi" w:hAnsiTheme="minorHAnsi" w:cstheme="minorHAnsi"/>
          <w:i/>
          <w:lang w:val="en-AU"/>
        </w:rPr>
        <w:t xml:space="preserve">Legislation Act 2001 </w:t>
      </w:r>
      <w:r>
        <w:rPr>
          <w:rFonts w:asciiTheme="minorHAnsi" w:hAnsiTheme="minorHAnsi" w:cstheme="minorHAnsi"/>
          <w:lang w:val="en-AU"/>
        </w:rPr>
        <w:t>sets out the rules for appointments in the ACT.</w:t>
      </w:r>
    </w:p>
    <w:p w14:paraId="611DB462" w14:textId="6A13CCFB" w:rsidR="00AA714B" w:rsidRDefault="00436F76" w:rsidP="006A7D59">
      <w:pPr>
        <w:pStyle w:val="PolicyBodyText"/>
        <w:spacing w:before="120" w:after="120" w:line="240" w:lineRule="auto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Statutory appointment</w:t>
      </w:r>
      <w:r w:rsidR="008C2E62">
        <w:rPr>
          <w:rFonts w:asciiTheme="minorHAnsi" w:hAnsiTheme="minorHAnsi" w:cstheme="minorHAnsi"/>
          <w:lang w:val="en-AU"/>
        </w:rPr>
        <w:t>s</w:t>
      </w:r>
      <w:r>
        <w:rPr>
          <w:rFonts w:asciiTheme="minorHAnsi" w:hAnsiTheme="minorHAnsi" w:cstheme="minorHAnsi"/>
          <w:lang w:val="en-AU"/>
        </w:rPr>
        <w:t xml:space="preserve"> </w:t>
      </w:r>
      <w:r w:rsidR="000E1974">
        <w:rPr>
          <w:rFonts w:asciiTheme="minorHAnsi" w:hAnsiTheme="minorHAnsi" w:cstheme="minorHAnsi"/>
          <w:lang w:val="en-AU"/>
        </w:rPr>
        <w:t xml:space="preserve">by </w:t>
      </w:r>
      <w:r w:rsidR="00EE56A1">
        <w:rPr>
          <w:rFonts w:asciiTheme="minorHAnsi" w:hAnsiTheme="minorHAnsi" w:cstheme="minorHAnsi"/>
          <w:lang w:val="en-AU"/>
        </w:rPr>
        <w:t>M</w:t>
      </w:r>
      <w:r w:rsidR="000E1974">
        <w:rPr>
          <w:rFonts w:asciiTheme="minorHAnsi" w:hAnsiTheme="minorHAnsi" w:cstheme="minorHAnsi"/>
          <w:lang w:val="en-AU"/>
        </w:rPr>
        <w:t xml:space="preserve">inisters are generally made by disallowable instrument and </w:t>
      </w:r>
      <w:r>
        <w:rPr>
          <w:rFonts w:asciiTheme="minorHAnsi" w:hAnsiTheme="minorHAnsi" w:cstheme="minorHAnsi"/>
          <w:lang w:val="en-AU"/>
        </w:rPr>
        <w:t>must be</w:t>
      </w:r>
      <w:r w:rsidR="00E35851">
        <w:rPr>
          <w:rFonts w:asciiTheme="minorHAnsi" w:hAnsiTheme="minorHAnsi" w:cstheme="minorHAnsi"/>
          <w:lang w:val="en-AU"/>
        </w:rPr>
        <w:t xml:space="preserve"> </w:t>
      </w:r>
      <w:r w:rsidR="007B5AF6">
        <w:rPr>
          <w:rFonts w:asciiTheme="minorHAnsi" w:hAnsiTheme="minorHAnsi" w:cstheme="minorHAnsi"/>
          <w:lang w:val="en-AU"/>
        </w:rPr>
        <w:t>endorsed</w:t>
      </w:r>
      <w:r w:rsidR="00E35851">
        <w:rPr>
          <w:rFonts w:asciiTheme="minorHAnsi" w:hAnsiTheme="minorHAnsi" w:cstheme="minorHAnsi"/>
          <w:lang w:val="en-AU"/>
        </w:rPr>
        <w:t xml:space="preserve"> by Cabinet,</w:t>
      </w:r>
      <w:r>
        <w:rPr>
          <w:rFonts w:asciiTheme="minorHAnsi" w:hAnsiTheme="minorHAnsi" w:cstheme="minorHAnsi"/>
          <w:lang w:val="en-AU"/>
        </w:rPr>
        <w:t xml:space="preserve"> notified on the Legislation </w:t>
      </w:r>
      <w:r w:rsidR="000E1974">
        <w:rPr>
          <w:rFonts w:asciiTheme="minorHAnsi" w:hAnsiTheme="minorHAnsi" w:cstheme="minorHAnsi"/>
          <w:lang w:val="en-AU"/>
        </w:rPr>
        <w:t>R</w:t>
      </w:r>
      <w:r>
        <w:rPr>
          <w:rFonts w:asciiTheme="minorHAnsi" w:hAnsiTheme="minorHAnsi" w:cstheme="minorHAnsi"/>
          <w:lang w:val="en-AU"/>
        </w:rPr>
        <w:t xml:space="preserve">egister and tabled in the </w:t>
      </w:r>
      <w:r w:rsidR="00BD55DC">
        <w:rPr>
          <w:rFonts w:asciiTheme="minorHAnsi" w:hAnsiTheme="minorHAnsi" w:cstheme="minorHAnsi"/>
          <w:lang w:val="en-AU"/>
        </w:rPr>
        <w:t xml:space="preserve">Legislative </w:t>
      </w:r>
      <w:r>
        <w:rPr>
          <w:rFonts w:asciiTheme="minorHAnsi" w:hAnsiTheme="minorHAnsi" w:cstheme="minorHAnsi"/>
          <w:lang w:val="en-AU"/>
        </w:rPr>
        <w:t xml:space="preserve">Assembly. </w:t>
      </w:r>
      <w:r w:rsidR="005B0DF4">
        <w:rPr>
          <w:rFonts w:asciiTheme="minorHAnsi" w:hAnsiTheme="minorHAnsi" w:cstheme="minorHAnsi"/>
          <w:lang w:val="en-AU"/>
        </w:rPr>
        <w:t xml:space="preserve"> </w:t>
      </w:r>
    </w:p>
    <w:p w14:paraId="4B9DFC6D" w14:textId="42F3C7BB" w:rsidR="008C4443" w:rsidRDefault="008C4443" w:rsidP="006A7D59">
      <w:pPr>
        <w:pStyle w:val="PolicyBodyText"/>
        <w:spacing w:before="120" w:after="120" w:line="240" w:lineRule="auto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An appointment instrument may be a </w:t>
      </w:r>
      <w:r w:rsidR="000E1974">
        <w:rPr>
          <w:rFonts w:asciiTheme="minorHAnsi" w:hAnsiTheme="minorHAnsi" w:cstheme="minorHAnsi"/>
          <w:lang w:val="en-AU"/>
        </w:rPr>
        <w:t>notifiable instrument (</w:t>
      </w:r>
      <w:r>
        <w:rPr>
          <w:rFonts w:asciiTheme="minorHAnsi" w:hAnsiTheme="minorHAnsi" w:cstheme="minorHAnsi"/>
          <w:lang w:val="en-AU"/>
        </w:rPr>
        <w:t>NI</w:t>
      </w:r>
      <w:r w:rsidR="000E1974">
        <w:rPr>
          <w:rFonts w:asciiTheme="minorHAnsi" w:hAnsiTheme="minorHAnsi" w:cstheme="minorHAnsi"/>
          <w:lang w:val="en-AU"/>
        </w:rPr>
        <w:t>)</w:t>
      </w:r>
      <w:r>
        <w:rPr>
          <w:rFonts w:asciiTheme="minorHAnsi" w:hAnsiTheme="minorHAnsi" w:cstheme="minorHAnsi"/>
          <w:lang w:val="en-AU"/>
        </w:rPr>
        <w:t xml:space="preserve"> or a </w:t>
      </w:r>
      <w:r w:rsidR="000E1974">
        <w:rPr>
          <w:rFonts w:asciiTheme="minorHAnsi" w:hAnsiTheme="minorHAnsi" w:cstheme="minorHAnsi"/>
          <w:lang w:val="en-AU"/>
        </w:rPr>
        <w:t>disallowable instrument (</w:t>
      </w:r>
      <w:r>
        <w:rPr>
          <w:rFonts w:asciiTheme="minorHAnsi" w:hAnsiTheme="minorHAnsi" w:cstheme="minorHAnsi"/>
          <w:lang w:val="en-AU"/>
        </w:rPr>
        <w:t>DI</w:t>
      </w:r>
      <w:r w:rsidR="000E1974">
        <w:rPr>
          <w:rFonts w:asciiTheme="minorHAnsi" w:hAnsiTheme="minorHAnsi" w:cstheme="minorHAnsi"/>
          <w:lang w:val="en-AU"/>
        </w:rPr>
        <w:t>)</w:t>
      </w:r>
      <w:r>
        <w:rPr>
          <w:rFonts w:asciiTheme="minorHAnsi" w:hAnsiTheme="minorHAnsi" w:cstheme="minorHAnsi"/>
          <w:lang w:val="en-AU"/>
        </w:rPr>
        <w:t xml:space="preserve">. For more information on NIs and DIs, please refer to </w:t>
      </w:r>
      <w:r w:rsidR="008F3571">
        <w:rPr>
          <w:rFonts w:asciiTheme="minorHAnsi" w:hAnsiTheme="minorHAnsi" w:cstheme="minorHAnsi"/>
          <w:lang w:val="en-AU"/>
        </w:rPr>
        <w:t>the notifiable and disallowable instruments standing operating procedure</w:t>
      </w:r>
      <w:r w:rsidR="00901C7A">
        <w:rPr>
          <w:rFonts w:asciiTheme="minorHAnsi" w:hAnsiTheme="minorHAnsi" w:cstheme="minorHAnsi"/>
          <w:lang w:val="en-AU"/>
        </w:rPr>
        <w:t xml:space="preserve">. </w:t>
      </w:r>
      <w:r>
        <w:rPr>
          <w:rFonts w:asciiTheme="minorHAnsi" w:hAnsiTheme="minorHAnsi" w:cstheme="minorHAnsi"/>
          <w:lang w:val="en-AU"/>
        </w:rPr>
        <w:t xml:space="preserve"> </w:t>
      </w:r>
    </w:p>
    <w:p w14:paraId="7CA207E7" w14:textId="77777777" w:rsidR="006A7D59" w:rsidRPr="00AC18CF" w:rsidRDefault="006A7D59" w:rsidP="006A7D59">
      <w:pPr>
        <w:pStyle w:val="Heading2"/>
        <w:rPr>
          <w:highlight w:val="yellow"/>
        </w:rPr>
      </w:pPr>
      <w:bookmarkStart w:id="2" w:name="_Toc489874786"/>
      <w:r w:rsidRPr="00D813C3">
        <w:t>Scope</w:t>
      </w:r>
      <w:bookmarkEnd w:id="2"/>
    </w:p>
    <w:p w14:paraId="6F16272B" w14:textId="77777777" w:rsidR="008E44B5" w:rsidRDefault="006A7D59" w:rsidP="006A7D59">
      <w:pPr>
        <w:rPr>
          <w:rFonts w:asciiTheme="minorHAnsi" w:hAnsiTheme="minorHAnsi" w:cstheme="minorHAnsi"/>
          <w:szCs w:val="22"/>
        </w:rPr>
      </w:pPr>
      <w:r w:rsidRPr="009937E8">
        <w:rPr>
          <w:rFonts w:asciiTheme="minorHAnsi" w:hAnsiTheme="minorHAnsi" w:cstheme="minorHAnsi"/>
          <w:szCs w:val="22"/>
        </w:rPr>
        <w:t xml:space="preserve">This procedure covers </w:t>
      </w:r>
      <w:r>
        <w:rPr>
          <w:rFonts w:asciiTheme="minorHAnsi" w:hAnsiTheme="minorHAnsi" w:cstheme="minorHAnsi"/>
          <w:szCs w:val="22"/>
        </w:rPr>
        <w:t>a</w:t>
      </w:r>
      <w:r w:rsidRPr="009937E8">
        <w:rPr>
          <w:rFonts w:asciiTheme="minorHAnsi" w:hAnsiTheme="minorHAnsi" w:cstheme="minorHAnsi"/>
          <w:szCs w:val="22"/>
        </w:rPr>
        <w:t>ppointments as authorised by legislation within the responsibility of</w:t>
      </w:r>
      <w:r w:rsidR="00586726">
        <w:rPr>
          <w:rFonts w:asciiTheme="minorHAnsi" w:hAnsiTheme="minorHAnsi" w:cstheme="minorHAnsi"/>
          <w:szCs w:val="22"/>
        </w:rPr>
        <w:t xml:space="preserve"> the</w:t>
      </w:r>
      <w:r w:rsidRPr="009937E8">
        <w:rPr>
          <w:rFonts w:asciiTheme="minorHAnsi" w:hAnsiTheme="minorHAnsi" w:cstheme="minorHAnsi"/>
          <w:szCs w:val="22"/>
        </w:rPr>
        <w:t xml:space="preserve"> EPSDD</w:t>
      </w:r>
      <w:r w:rsidR="00586726">
        <w:rPr>
          <w:rFonts w:asciiTheme="minorHAnsi" w:hAnsiTheme="minorHAnsi" w:cstheme="minorHAnsi"/>
          <w:szCs w:val="22"/>
        </w:rPr>
        <w:t xml:space="preserve"> portfolio.</w:t>
      </w:r>
    </w:p>
    <w:p w14:paraId="3FE99F5F" w14:textId="77777777" w:rsidR="00B7358B" w:rsidRDefault="00B7358B" w:rsidP="00B7358B">
      <w:pPr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>
        <w:t>Note that there are special steps that apply to Ministerial and Executive appointments. Refer to t</w:t>
      </w:r>
      <w:r>
        <w:rPr>
          <w:rFonts w:asciiTheme="minorHAnsi" w:hAnsiTheme="minorHAnsi" w:cstheme="minorHAnsi"/>
          <w:szCs w:val="22"/>
        </w:rPr>
        <w:t xml:space="preserve">he </w:t>
      </w:r>
      <w:hyperlink r:id="rId8" w:history="1">
        <w:r w:rsidRPr="008E44B5">
          <w:rPr>
            <w:rStyle w:val="Hyperlink"/>
            <w:rFonts w:asciiTheme="minorHAnsi" w:hAnsiTheme="minorHAnsi" w:cstheme="minorHAnsi"/>
            <w:szCs w:val="22"/>
          </w:rPr>
          <w:t>Appointments, Boards and Committee’s handbook</w:t>
        </w:r>
      </w:hyperlink>
      <w:r>
        <w:rPr>
          <w:rStyle w:val="Hyperlink"/>
          <w:rFonts w:asciiTheme="minorHAnsi" w:hAnsiTheme="minorHAnsi" w:cstheme="minorHAnsi"/>
          <w:szCs w:val="22"/>
        </w:rPr>
        <w:t xml:space="preserve"> </w:t>
      </w:r>
      <w:r w:rsidRPr="008A7914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in conjunction with the</w:t>
      </w:r>
      <w:r w:rsidRPr="008A7914">
        <w:rPr>
          <w:rStyle w:val="Hyperlink"/>
          <w:rFonts w:asciiTheme="minorHAnsi" w:hAnsiTheme="minorHAnsi" w:cstheme="minorHAnsi"/>
          <w:color w:val="auto"/>
          <w:szCs w:val="22"/>
        </w:rPr>
        <w:t xml:space="preserve"> </w:t>
      </w:r>
      <w:hyperlink r:id="rId9" w:history="1">
        <w:r w:rsidRPr="008A7914">
          <w:rPr>
            <w:rStyle w:val="Hyperlink"/>
            <w:rFonts w:asciiTheme="minorHAnsi" w:hAnsiTheme="minorHAnsi" w:cstheme="minorHAnsi"/>
            <w:szCs w:val="22"/>
          </w:rPr>
          <w:t>Cabinet handbook</w:t>
        </w:r>
      </w:hyperlink>
      <w:r>
        <w:rPr>
          <w:rStyle w:val="Hyperlink"/>
          <w:rFonts w:asciiTheme="minorHAnsi" w:hAnsiTheme="minorHAnsi" w:cstheme="minorHAnsi"/>
          <w:color w:val="auto"/>
          <w:szCs w:val="22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 for further information on these steps. </w:t>
      </w:r>
    </w:p>
    <w:p w14:paraId="0093D802" w14:textId="6480743C" w:rsidR="00B7358B" w:rsidRPr="008E44B5" w:rsidRDefault="00835147" w:rsidP="006A7D59">
      <w:pPr>
        <w:rPr>
          <w:rFonts w:asciiTheme="minorHAnsi" w:hAnsiTheme="minorHAnsi" w:cstheme="minorHAnsi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Non-statutory appointments are not covered by any legislative source of power. This SOP contains some steps applicable to non-statutory appointments, however </w:t>
      </w:r>
      <w:r w:rsidR="00A11B15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the relevant policy area will have more information on the applicable procedure. </w:t>
      </w:r>
      <w:r w:rsidR="0058281D">
        <w:t>T</w:t>
      </w:r>
      <w:r w:rsidR="002D4FCB">
        <w:t xml:space="preserve">he </w:t>
      </w:r>
      <w:hyperlink r:id="rId10" w:history="1">
        <w:r w:rsidR="002D4FCB" w:rsidRPr="0068519D">
          <w:rPr>
            <w:rStyle w:val="Hyperlink"/>
            <w:rFonts w:asciiTheme="minorHAnsi" w:hAnsiTheme="minorHAnsi" w:cstheme="minorHAnsi"/>
            <w:szCs w:val="22"/>
          </w:rPr>
          <w:t>Appointments, Boards and Committee’s handbook</w:t>
        </w:r>
      </w:hyperlink>
      <w:r w:rsidR="0058281D">
        <w:rPr>
          <w:rStyle w:val="Hyperlink"/>
          <w:rFonts w:asciiTheme="minorHAnsi" w:hAnsiTheme="minorHAnsi" w:cstheme="minorHAnsi"/>
          <w:szCs w:val="22"/>
        </w:rPr>
        <w:t xml:space="preserve"> </w:t>
      </w:r>
      <w:r w:rsidR="0058281D" w:rsidRPr="0058281D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contains further guidance on non-statutory appointments</w:t>
      </w:r>
      <w:r w:rsidR="002D4FCB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.</w:t>
      </w:r>
      <w:r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describing roles and responsibilities applied to this procedure"/>
      </w:tblPr>
      <w:tblGrid>
        <w:gridCol w:w="1754"/>
        <w:gridCol w:w="7198"/>
      </w:tblGrid>
      <w:tr w:rsidR="006A7D59" w:rsidRPr="00ED62B8" w14:paraId="7CAF322B" w14:textId="77777777" w:rsidTr="00B80AC6">
        <w:trPr>
          <w:tblHeader/>
        </w:trPr>
        <w:tc>
          <w:tcPr>
            <w:tcW w:w="1588" w:type="dxa"/>
            <w:shd w:val="clear" w:color="auto" w:fill="808080" w:themeFill="background1" w:themeFillShade="80"/>
          </w:tcPr>
          <w:p w14:paraId="42D265B2" w14:textId="77777777" w:rsidR="006A7D59" w:rsidRPr="00716A4C" w:rsidRDefault="006A7D59" w:rsidP="0068514C">
            <w:pPr>
              <w:pStyle w:val="Heading3"/>
              <w:spacing w:before="120" w:after="120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lastRenderedPageBreak/>
              <w:t>Business Area</w:t>
            </w:r>
          </w:p>
        </w:tc>
        <w:tc>
          <w:tcPr>
            <w:tcW w:w="7364" w:type="dxa"/>
            <w:shd w:val="clear" w:color="auto" w:fill="808080" w:themeFill="background1" w:themeFillShade="80"/>
          </w:tcPr>
          <w:p w14:paraId="1C943482" w14:textId="77777777" w:rsidR="006A7D59" w:rsidRPr="00716A4C" w:rsidRDefault="006A7D59" w:rsidP="0068514C">
            <w:pPr>
              <w:pStyle w:val="Heading3"/>
              <w:tabs>
                <w:tab w:val="right" w:pos="5239"/>
              </w:tabs>
              <w:spacing w:before="120" w:after="120"/>
              <w:rPr>
                <w:bCs w:val="0"/>
                <w:color w:val="FFFFFF" w:themeColor="background1"/>
              </w:rPr>
            </w:pPr>
            <w:r w:rsidRPr="00716A4C">
              <w:rPr>
                <w:bCs w:val="0"/>
                <w:color w:val="FFFFFF" w:themeColor="background1"/>
              </w:rPr>
              <w:t>Responsibility</w:t>
            </w:r>
            <w:r w:rsidRPr="00716A4C">
              <w:rPr>
                <w:bCs w:val="0"/>
                <w:color w:val="FFFFFF" w:themeColor="background1"/>
              </w:rPr>
              <w:tab/>
            </w:r>
          </w:p>
        </w:tc>
      </w:tr>
      <w:tr w:rsidR="006A7D59" w:rsidRPr="00ED62B8" w14:paraId="15E2DAC2" w14:textId="77777777" w:rsidTr="00B80AC6">
        <w:trPr>
          <w:tblHeader/>
        </w:trPr>
        <w:tc>
          <w:tcPr>
            <w:tcW w:w="1588" w:type="dxa"/>
          </w:tcPr>
          <w:p w14:paraId="68249EBE" w14:textId="77777777" w:rsidR="006A7D59" w:rsidRPr="009937E8" w:rsidRDefault="006A7D59" w:rsidP="0068514C">
            <w:pPr>
              <w:spacing w:before="120"/>
              <w:rPr>
                <w:b/>
                <w:color w:val="ACB9CA" w:themeColor="text2" w:themeTint="66"/>
                <w:szCs w:val="22"/>
                <w:highlight w:val="yellow"/>
              </w:rPr>
            </w:pPr>
            <w:r>
              <w:rPr>
                <w:rFonts w:cs="Calibri"/>
                <w:b/>
                <w:szCs w:val="22"/>
                <w:lang w:bidi="en-US"/>
              </w:rPr>
              <w:t>Policy</w:t>
            </w:r>
            <w:r w:rsidRPr="009937E8">
              <w:rPr>
                <w:rFonts w:cs="Calibri"/>
                <w:b/>
                <w:szCs w:val="22"/>
                <w:lang w:bidi="en-US"/>
              </w:rPr>
              <w:t xml:space="preserve"> Areas</w:t>
            </w:r>
          </w:p>
        </w:tc>
        <w:tc>
          <w:tcPr>
            <w:tcW w:w="7364" w:type="dxa"/>
          </w:tcPr>
          <w:p w14:paraId="5FEADA6E" w14:textId="03876F8B" w:rsidR="006A7D59" w:rsidRDefault="006A7D59" w:rsidP="006A7D5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B579C">
              <w:rPr>
                <w:rFonts w:cs="Calibri"/>
                <w:szCs w:val="22"/>
                <w:lang w:bidi="en-US"/>
              </w:rPr>
              <w:t>Identify new appointments</w:t>
            </w:r>
            <w:r>
              <w:rPr>
                <w:rFonts w:cs="Calibri"/>
                <w:szCs w:val="22"/>
                <w:lang w:bidi="en-US"/>
              </w:rPr>
              <w:t xml:space="preserve"> </w:t>
            </w:r>
            <w:r w:rsidRPr="00FB579C">
              <w:rPr>
                <w:rFonts w:cs="Calibri"/>
                <w:szCs w:val="22"/>
                <w:lang w:bidi="en-US"/>
              </w:rPr>
              <w:t>and revocations.</w:t>
            </w:r>
          </w:p>
          <w:p w14:paraId="67C674FD" w14:textId="77777777" w:rsidR="00CC41B0" w:rsidRDefault="00CC41B0" w:rsidP="00CC41B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Advise Legal Services and Integrity, Government Services and Communications at the earliest opportunity.</w:t>
            </w:r>
          </w:p>
          <w:p w14:paraId="7DCEDF77" w14:textId="7C5C993B" w:rsidR="00E611B7" w:rsidRDefault="00E611B7" w:rsidP="006A7D5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Undertake recruitment processes</w:t>
            </w:r>
            <w:r w:rsidR="00CC41B0">
              <w:rPr>
                <w:rFonts w:cs="Calibri"/>
                <w:szCs w:val="22"/>
                <w:lang w:bidi="en-US"/>
              </w:rPr>
              <w:t xml:space="preserve"> including consultation with the Diversity Register at </w:t>
            </w:r>
            <w:r w:rsidR="00CC41B0" w:rsidRPr="00CC41B0">
              <w:rPr>
                <w:rFonts w:cs="Calibri"/>
                <w:szCs w:val="22"/>
                <w:lang w:bidi="en-US"/>
              </w:rPr>
              <w:t>https://www.diversityregister.act.gov.au/s/consultation</w:t>
            </w:r>
            <w:r w:rsidR="00CC41B0">
              <w:rPr>
                <w:rFonts w:cs="Calibri"/>
                <w:szCs w:val="22"/>
                <w:lang w:bidi="en-US"/>
              </w:rPr>
              <w:t>.</w:t>
            </w:r>
          </w:p>
          <w:p w14:paraId="03A8C4BE" w14:textId="25648F47" w:rsidR="00102D4B" w:rsidRDefault="006A7D59" w:rsidP="00493604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B579C">
              <w:rPr>
                <w:rFonts w:cs="Calibri"/>
                <w:szCs w:val="22"/>
                <w:lang w:bidi="en-US"/>
              </w:rPr>
              <w:t>Prepare</w:t>
            </w:r>
            <w:r w:rsidR="00E87458">
              <w:rPr>
                <w:rFonts w:cs="Calibri"/>
                <w:szCs w:val="22"/>
                <w:lang w:bidi="en-US"/>
              </w:rPr>
              <w:t xml:space="preserve"> (when required)</w:t>
            </w:r>
            <w:r w:rsidRPr="00FB579C">
              <w:rPr>
                <w:rFonts w:cs="Calibri"/>
                <w:szCs w:val="22"/>
                <w:lang w:bidi="en-US"/>
              </w:rPr>
              <w:t xml:space="preserve"> </w:t>
            </w:r>
            <w:r w:rsidR="00E611B7">
              <w:rPr>
                <w:rFonts w:cs="Calibri"/>
                <w:szCs w:val="22"/>
                <w:lang w:bidi="en-US"/>
              </w:rPr>
              <w:t xml:space="preserve">the </w:t>
            </w:r>
            <w:r w:rsidRPr="00FB579C">
              <w:rPr>
                <w:rFonts w:cs="Calibri"/>
                <w:szCs w:val="22"/>
                <w:lang w:bidi="en-US"/>
              </w:rPr>
              <w:t>brief</w:t>
            </w:r>
            <w:r w:rsidR="00E87458">
              <w:rPr>
                <w:rFonts w:cs="Calibri"/>
                <w:szCs w:val="22"/>
                <w:lang w:bidi="en-US"/>
              </w:rPr>
              <w:t xml:space="preserve">, </w:t>
            </w:r>
            <w:r w:rsidR="00C66533">
              <w:rPr>
                <w:rFonts w:cs="Calibri"/>
                <w:szCs w:val="22"/>
                <w:lang w:bidi="en-US"/>
              </w:rPr>
              <w:t>C</w:t>
            </w:r>
            <w:r w:rsidR="00E611B7">
              <w:rPr>
                <w:rFonts w:cs="Calibri"/>
                <w:szCs w:val="22"/>
                <w:lang w:bidi="en-US"/>
              </w:rPr>
              <w:t xml:space="preserve">abinet </w:t>
            </w:r>
            <w:r w:rsidR="00C66533">
              <w:rPr>
                <w:rFonts w:cs="Calibri"/>
                <w:szCs w:val="22"/>
                <w:lang w:bidi="en-US"/>
              </w:rPr>
              <w:t>Appointment Paper</w:t>
            </w:r>
            <w:r w:rsidR="00E611B7">
              <w:rPr>
                <w:rFonts w:cs="Calibri"/>
                <w:szCs w:val="22"/>
                <w:lang w:bidi="en-US"/>
              </w:rPr>
              <w:t xml:space="preserve">, appointment </w:t>
            </w:r>
            <w:r w:rsidRPr="00FB579C">
              <w:rPr>
                <w:rFonts w:cs="Calibri"/>
                <w:szCs w:val="22"/>
                <w:lang w:bidi="en-US"/>
              </w:rPr>
              <w:t>instrument</w:t>
            </w:r>
            <w:r w:rsidR="00E87458">
              <w:rPr>
                <w:rFonts w:cs="Calibri"/>
                <w:szCs w:val="22"/>
                <w:lang w:bidi="en-US"/>
              </w:rPr>
              <w:t>, explanatory statement, letter of appointment/declaration of private interests form</w:t>
            </w:r>
            <w:r w:rsidR="00493604">
              <w:rPr>
                <w:rFonts w:cs="Calibri"/>
                <w:szCs w:val="22"/>
                <w:lang w:bidi="en-US"/>
              </w:rPr>
              <w:t xml:space="preserve"> an</w:t>
            </w:r>
            <w:r w:rsidR="006245F0">
              <w:rPr>
                <w:rFonts w:cs="Calibri"/>
                <w:szCs w:val="22"/>
                <w:lang w:bidi="en-US"/>
              </w:rPr>
              <w:t>d</w:t>
            </w:r>
            <w:r w:rsidR="00E87458">
              <w:rPr>
                <w:rFonts w:cs="Calibri"/>
                <w:szCs w:val="22"/>
                <w:lang w:bidi="en-US"/>
              </w:rPr>
              <w:t xml:space="preserve"> </w:t>
            </w:r>
            <w:r w:rsidR="00E611B7">
              <w:rPr>
                <w:rFonts w:cs="Calibri"/>
                <w:szCs w:val="22"/>
                <w:lang w:bidi="en-US"/>
              </w:rPr>
              <w:t xml:space="preserve">consultation </w:t>
            </w:r>
            <w:r w:rsidR="00E87458">
              <w:rPr>
                <w:rFonts w:cs="Calibri"/>
                <w:szCs w:val="22"/>
                <w:lang w:bidi="en-US"/>
              </w:rPr>
              <w:t xml:space="preserve">letter to </w:t>
            </w:r>
            <w:r w:rsidR="00E611B7">
              <w:rPr>
                <w:rFonts w:cs="Calibri"/>
                <w:szCs w:val="22"/>
                <w:lang w:bidi="en-US"/>
              </w:rPr>
              <w:t xml:space="preserve">the relevant </w:t>
            </w:r>
            <w:r w:rsidR="00E87458">
              <w:rPr>
                <w:rFonts w:cs="Calibri"/>
                <w:szCs w:val="22"/>
                <w:lang w:bidi="en-US"/>
              </w:rPr>
              <w:t>Standing Committee</w:t>
            </w:r>
            <w:r w:rsidR="00E611B7">
              <w:rPr>
                <w:rFonts w:cs="Calibri"/>
                <w:szCs w:val="22"/>
                <w:lang w:bidi="en-US"/>
              </w:rPr>
              <w:t xml:space="preserve"> (appointment material)</w:t>
            </w:r>
            <w:r w:rsidR="00493604">
              <w:rPr>
                <w:rFonts w:cs="Calibri"/>
                <w:szCs w:val="22"/>
                <w:lang w:bidi="en-US"/>
              </w:rPr>
              <w:t>.</w:t>
            </w:r>
          </w:p>
          <w:p w14:paraId="28B72A6A" w14:textId="483072DD" w:rsidR="00E611B7" w:rsidRPr="00493604" w:rsidRDefault="00E611B7" w:rsidP="00493604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Prepare response to Scrutiny of Bills Committee recommendations (when required)</w:t>
            </w:r>
          </w:p>
        </w:tc>
      </w:tr>
      <w:tr w:rsidR="006A7D59" w:rsidRPr="00ED62B8" w14:paraId="770D84B5" w14:textId="77777777" w:rsidTr="00B80AC6">
        <w:trPr>
          <w:tblHeader/>
        </w:trPr>
        <w:tc>
          <w:tcPr>
            <w:tcW w:w="1588" w:type="dxa"/>
          </w:tcPr>
          <w:p w14:paraId="3AEF0B6F" w14:textId="77777777" w:rsidR="006A7D59" w:rsidRPr="009937E8" w:rsidRDefault="00483582" w:rsidP="0068514C">
            <w:pPr>
              <w:spacing w:before="120"/>
              <w:rPr>
                <w:b/>
                <w:color w:val="ACB9CA" w:themeColor="text2" w:themeTint="66"/>
                <w:szCs w:val="22"/>
                <w:highlight w:val="yellow"/>
              </w:rPr>
            </w:pPr>
            <w:r>
              <w:rPr>
                <w:rFonts w:cs="Calibri"/>
                <w:b/>
                <w:szCs w:val="22"/>
                <w:lang w:bidi="en-US"/>
              </w:rPr>
              <w:t>Legal Services and Integrity</w:t>
            </w:r>
          </w:p>
        </w:tc>
        <w:tc>
          <w:tcPr>
            <w:tcW w:w="7364" w:type="dxa"/>
          </w:tcPr>
          <w:p w14:paraId="74FA1F74" w14:textId="3F3BB947" w:rsidR="00E611B7" w:rsidRDefault="00E611B7" w:rsidP="00E611B7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proofErr w:type="gramStart"/>
            <w:r w:rsidRPr="00FB579C">
              <w:rPr>
                <w:rFonts w:cs="Calibri"/>
                <w:szCs w:val="22"/>
                <w:lang w:bidi="en-US"/>
              </w:rPr>
              <w:t>Provide assistance to</w:t>
            </w:r>
            <w:proofErr w:type="gramEnd"/>
            <w:r w:rsidRPr="00FB579C">
              <w:rPr>
                <w:rFonts w:cs="Calibri"/>
                <w:szCs w:val="22"/>
                <w:lang w:bidi="en-US"/>
              </w:rPr>
              <w:t xml:space="preserve"> policy areas in drafting</w:t>
            </w:r>
            <w:r>
              <w:rPr>
                <w:rFonts w:cs="Calibri"/>
                <w:szCs w:val="22"/>
                <w:lang w:bidi="en-US"/>
              </w:rPr>
              <w:t xml:space="preserve"> the appointment materials</w:t>
            </w:r>
            <w:r w:rsidRPr="00FB579C">
              <w:rPr>
                <w:rFonts w:cs="Calibri"/>
                <w:szCs w:val="22"/>
                <w:lang w:bidi="en-US"/>
              </w:rPr>
              <w:t>.</w:t>
            </w:r>
          </w:p>
          <w:p w14:paraId="7F967BAF" w14:textId="685959FD" w:rsidR="006A7D59" w:rsidRDefault="006A7D59" w:rsidP="006A7D5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B579C">
              <w:rPr>
                <w:rFonts w:cs="Calibri"/>
                <w:szCs w:val="22"/>
                <w:lang w:bidi="en-US"/>
              </w:rPr>
              <w:t xml:space="preserve">Review the </w:t>
            </w:r>
            <w:r w:rsidR="00C34E98">
              <w:rPr>
                <w:rFonts w:cs="Calibri"/>
                <w:szCs w:val="22"/>
                <w:lang w:bidi="en-US"/>
              </w:rPr>
              <w:t>appointment materials</w:t>
            </w:r>
            <w:r w:rsidR="00E611B7">
              <w:rPr>
                <w:rFonts w:cs="Calibri"/>
                <w:szCs w:val="22"/>
                <w:lang w:bidi="en-US"/>
              </w:rPr>
              <w:t xml:space="preserve"> prior to the Policy Area seeking Executive clearance</w:t>
            </w:r>
            <w:r w:rsidRPr="00FB579C">
              <w:rPr>
                <w:rFonts w:cs="Calibri"/>
                <w:szCs w:val="22"/>
                <w:lang w:bidi="en-US"/>
              </w:rPr>
              <w:t>.</w:t>
            </w:r>
          </w:p>
          <w:p w14:paraId="448B6D3B" w14:textId="5D4D743E" w:rsidR="00E611B7" w:rsidRDefault="00E611B7" w:rsidP="006A7D5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Assist in the preparation of response to Scrutiny of Bills Committee recommendations (when required)</w:t>
            </w:r>
          </w:p>
          <w:p w14:paraId="562C2829" w14:textId="5634E722" w:rsidR="006A7D59" w:rsidRPr="00FB579C" w:rsidRDefault="00E611B7" w:rsidP="006A7D5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Manage A</w:t>
            </w:r>
            <w:r w:rsidR="006A7D59" w:rsidRPr="00FB579C">
              <w:rPr>
                <w:rFonts w:cs="Calibri"/>
                <w:szCs w:val="22"/>
                <w:lang w:bidi="en-US"/>
              </w:rPr>
              <w:t>ppointments register.</w:t>
            </w:r>
          </w:p>
        </w:tc>
      </w:tr>
      <w:tr w:rsidR="006A7D59" w:rsidRPr="00ED62B8" w14:paraId="5464A51C" w14:textId="77777777" w:rsidTr="00B80AC6">
        <w:trPr>
          <w:tblHeader/>
        </w:trPr>
        <w:tc>
          <w:tcPr>
            <w:tcW w:w="1588" w:type="dxa"/>
          </w:tcPr>
          <w:p w14:paraId="5CA90F76" w14:textId="77777777" w:rsidR="006A7D59" w:rsidRPr="009937E8" w:rsidRDefault="006A7D59" w:rsidP="0068514C">
            <w:pPr>
              <w:spacing w:before="120"/>
              <w:rPr>
                <w:rFonts w:cs="Calibri"/>
                <w:b/>
                <w:szCs w:val="22"/>
                <w:lang w:bidi="en-US"/>
              </w:rPr>
            </w:pPr>
            <w:r w:rsidRPr="009937E8">
              <w:rPr>
                <w:rFonts w:cs="Calibri"/>
                <w:b/>
                <w:szCs w:val="22"/>
                <w:lang w:bidi="en-US"/>
              </w:rPr>
              <w:t>Government Services</w:t>
            </w:r>
          </w:p>
        </w:tc>
        <w:tc>
          <w:tcPr>
            <w:tcW w:w="7364" w:type="dxa"/>
          </w:tcPr>
          <w:p w14:paraId="37B37400" w14:textId="62936182" w:rsidR="00C66533" w:rsidRDefault="00C66533" w:rsidP="00C6653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On advice from the Policy Area, oversee the scheduling of the Appointment Paper for an appropriate Cabinet date.</w:t>
            </w:r>
          </w:p>
          <w:p w14:paraId="5CDB2259" w14:textId="18075216" w:rsidR="00C66533" w:rsidRDefault="00C66533" w:rsidP="00C6653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Provide administrative support and timeframes to the Policy Area.</w:t>
            </w:r>
          </w:p>
          <w:p w14:paraId="3CEB677C" w14:textId="77777777" w:rsidR="00C66533" w:rsidRDefault="006A7D59" w:rsidP="00C6653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Manage</w:t>
            </w:r>
            <w:r w:rsidRPr="00FB579C">
              <w:rPr>
                <w:rFonts w:cs="Calibri"/>
                <w:szCs w:val="22"/>
                <w:lang w:bidi="en-US"/>
              </w:rPr>
              <w:t xml:space="preserve"> the DDG/DG/Ministerial approval process for the </w:t>
            </w:r>
            <w:r w:rsidR="00E611B7">
              <w:rPr>
                <w:rFonts w:cs="Calibri"/>
                <w:szCs w:val="22"/>
                <w:lang w:bidi="en-US"/>
              </w:rPr>
              <w:t>appointment material</w:t>
            </w:r>
            <w:r w:rsidRPr="00FB579C">
              <w:rPr>
                <w:rFonts w:cs="Calibri"/>
                <w:szCs w:val="22"/>
                <w:lang w:bidi="en-US"/>
              </w:rPr>
              <w:t>.</w:t>
            </w:r>
          </w:p>
          <w:p w14:paraId="55E88D3E" w14:textId="1DD95882" w:rsidR="007B5AF6" w:rsidRDefault="00C66533" w:rsidP="007B5AF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723"/>
              <w:rPr>
                <w:rFonts w:cs="Calibri"/>
                <w:szCs w:val="22"/>
                <w:lang w:bidi="en-US"/>
              </w:rPr>
            </w:pPr>
            <w:r w:rsidRPr="00C66533">
              <w:rPr>
                <w:rFonts w:cs="Calibri"/>
                <w:szCs w:val="22"/>
                <w:lang w:bidi="en-US"/>
              </w:rPr>
              <w:t>Lodge the Cabinet Appointment Paper with the Cabinet Office.</w:t>
            </w:r>
          </w:p>
          <w:p w14:paraId="0C4D293F" w14:textId="5A2EFD84" w:rsidR="00C66533" w:rsidRPr="003F74F7" w:rsidRDefault="00C66533" w:rsidP="007B5AF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723"/>
              <w:rPr>
                <w:rFonts w:cs="Calibri"/>
                <w:szCs w:val="22"/>
                <w:lang w:bidi="en-US"/>
              </w:rPr>
            </w:pPr>
            <w:r w:rsidRPr="00C66533">
              <w:rPr>
                <w:rFonts w:cs="Calibri"/>
                <w:szCs w:val="22"/>
                <w:lang w:bidi="en-US"/>
              </w:rPr>
              <w:t>Advise Policy Area of outcome of Cabinet consideration when formal decision become</w:t>
            </w:r>
            <w:r w:rsidRPr="003F74F7">
              <w:rPr>
                <w:rFonts w:cs="Calibri"/>
                <w:szCs w:val="22"/>
                <w:lang w:bidi="en-US"/>
              </w:rPr>
              <w:t>s available.</w:t>
            </w:r>
          </w:p>
          <w:p w14:paraId="3E9E27AB" w14:textId="7C2D0F86" w:rsidR="006A7D59" w:rsidRPr="00FB579C" w:rsidRDefault="006A7D59" w:rsidP="006A7D5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F7101">
              <w:rPr>
                <w:rFonts w:asciiTheme="minorHAnsi" w:hAnsiTheme="minorHAnsi" w:cstheme="minorHAnsi"/>
              </w:rPr>
              <w:t xml:space="preserve">Liaise with Parliamentary Counsel </w:t>
            </w:r>
            <w:r>
              <w:rPr>
                <w:rFonts w:asciiTheme="minorHAnsi" w:hAnsiTheme="minorHAnsi" w:cstheme="minorHAnsi"/>
              </w:rPr>
              <w:t>for</w:t>
            </w:r>
            <w:r w:rsidRPr="00FF7101">
              <w:rPr>
                <w:rFonts w:asciiTheme="minorHAnsi" w:hAnsiTheme="minorHAnsi" w:cstheme="minorHAnsi"/>
              </w:rPr>
              <w:t xml:space="preserve"> notification of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FF7101">
              <w:rPr>
                <w:rFonts w:asciiTheme="minorHAnsi" w:hAnsiTheme="minorHAnsi" w:cstheme="minorHAnsi"/>
              </w:rPr>
              <w:t xml:space="preserve"> </w:t>
            </w:r>
            <w:r w:rsidR="00C34E98">
              <w:rPr>
                <w:rFonts w:asciiTheme="minorHAnsi" w:hAnsiTheme="minorHAnsi" w:cstheme="minorHAnsi"/>
              </w:rPr>
              <w:t xml:space="preserve">appointment </w:t>
            </w:r>
            <w:r w:rsidRPr="00FF7101">
              <w:rPr>
                <w:rFonts w:asciiTheme="minorHAnsi" w:hAnsiTheme="minorHAnsi" w:cstheme="minorHAnsi"/>
              </w:rPr>
              <w:t>instrument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A7D59" w:rsidRPr="00ED62B8" w14:paraId="225F44D0" w14:textId="77777777" w:rsidTr="00B80AC6">
        <w:trPr>
          <w:tblHeader/>
        </w:trPr>
        <w:tc>
          <w:tcPr>
            <w:tcW w:w="1588" w:type="dxa"/>
          </w:tcPr>
          <w:p w14:paraId="341F02C8" w14:textId="77777777" w:rsidR="006A7D59" w:rsidRPr="009937E8" w:rsidRDefault="006A7D59" w:rsidP="0068514C">
            <w:pPr>
              <w:pStyle w:val="Default"/>
              <w:spacing w:before="120"/>
              <w:rPr>
                <w:b/>
                <w:bCs/>
                <w:color w:val="ACB9CA" w:themeColor="text2" w:themeTint="66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Communications</w:t>
            </w:r>
          </w:p>
        </w:tc>
        <w:tc>
          <w:tcPr>
            <w:tcW w:w="7364" w:type="dxa"/>
          </w:tcPr>
          <w:p w14:paraId="24BA83CE" w14:textId="77777777" w:rsidR="006A7D59" w:rsidRPr="00FB579C" w:rsidRDefault="006A7D59" w:rsidP="006A7D59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B579C">
              <w:rPr>
                <w:rFonts w:cs="Calibri"/>
                <w:szCs w:val="22"/>
                <w:lang w:bidi="en-US"/>
              </w:rPr>
              <w:t>Prepare any required Communications material.</w:t>
            </w:r>
          </w:p>
        </w:tc>
      </w:tr>
      <w:tr w:rsidR="00573967" w:rsidRPr="00ED62B8" w14:paraId="4C38F96E" w14:textId="77777777" w:rsidTr="00B80AC6">
        <w:trPr>
          <w:tblHeader/>
        </w:trPr>
        <w:tc>
          <w:tcPr>
            <w:tcW w:w="1588" w:type="dxa"/>
          </w:tcPr>
          <w:p w14:paraId="3BDFA446" w14:textId="77777777" w:rsidR="00573967" w:rsidRDefault="00573967" w:rsidP="0068514C">
            <w:pPr>
              <w:pStyle w:val="Default"/>
              <w:spacing w:before="12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Appointer</w:t>
            </w:r>
          </w:p>
        </w:tc>
        <w:tc>
          <w:tcPr>
            <w:tcW w:w="7364" w:type="dxa"/>
          </w:tcPr>
          <w:p w14:paraId="0DADDA90" w14:textId="5C67B9DE" w:rsidR="00573967" w:rsidRDefault="00573967" w:rsidP="0057396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 xml:space="preserve">Be satisfied that </w:t>
            </w:r>
            <w:r w:rsidR="00C34E98">
              <w:rPr>
                <w:rFonts w:cs="Calibri"/>
                <w:szCs w:val="22"/>
                <w:lang w:bidi="en-US"/>
              </w:rPr>
              <w:t>they have the</w:t>
            </w:r>
            <w:r>
              <w:rPr>
                <w:rFonts w:cs="Calibri"/>
                <w:szCs w:val="22"/>
                <w:lang w:bidi="en-US"/>
              </w:rPr>
              <w:t xml:space="preserve"> power to appoint the </w:t>
            </w:r>
            <w:r w:rsidR="00102D4B">
              <w:rPr>
                <w:rFonts w:cs="Calibri"/>
                <w:szCs w:val="22"/>
                <w:lang w:bidi="en-US"/>
              </w:rPr>
              <w:t>appointee</w:t>
            </w:r>
            <w:r w:rsidR="00C34E98">
              <w:rPr>
                <w:rFonts w:cs="Calibri"/>
                <w:szCs w:val="22"/>
                <w:lang w:bidi="en-US"/>
              </w:rPr>
              <w:t>, and meet any conditions</w:t>
            </w:r>
            <w:r>
              <w:rPr>
                <w:rFonts w:cs="Calibri"/>
                <w:szCs w:val="22"/>
                <w:lang w:bidi="en-US"/>
              </w:rPr>
              <w:t>; and</w:t>
            </w:r>
          </w:p>
          <w:p w14:paraId="61A68494" w14:textId="09ED9B17" w:rsidR="00573967" w:rsidRPr="00FB579C" w:rsidRDefault="00573967" w:rsidP="0057396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 xml:space="preserve">Be satisfied that the appointee has the necessary skills and knowledge to execute the </w:t>
            </w:r>
            <w:r w:rsidR="00C34E98">
              <w:rPr>
                <w:rFonts w:cs="Calibri"/>
                <w:szCs w:val="22"/>
                <w:lang w:bidi="en-US"/>
              </w:rPr>
              <w:t xml:space="preserve">functions of the </w:t>
            </w:r>
            <w:r>
              <w:rPr>
                <w:rFonts w:cs="Calibri"/>
                <w:szCs w:val="22"/>
                <w:lang w:bidi="en-US"/>
              </w:rPr>
              <w:t>appointment.</w:t>
            </w:r>
          </w:p>
        </w:tc>
      </w:tr>
      <w:tr w:rsidR="00573967" w:rsidRPr="00ED62B8" w14:paraId="50BCAF8B" w14:textId="77777777" w:rsidTr="00B80AC6">
        <w:trPr>
          <w:tblHeader/>
        </w:trPr>
        <w:tc>
          <w:tcPr>
            <w:tcW w:w="1588" w:type="dxa"/>
          </w:tcPr>
          <w:p w14:paraId="40C5DEBB" w14:textId="77777777" w:rsidR="00573967" w:rsidRDefault="00573967" w:rsidP="0068514C">
            <w:pPr>
              <w:pStyle w:val="Default"/>
              <w:spacing w:before="12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 xml:space="preserve">Appointee </w:t>
            </w:r>
          </w:p>
        </w:tc>
        <w:tc>
          <w:tcPr>
            <w:tcW w:w="7364" w:type="dxa"/>
          </w:tcPr>
          <w:p w14:paraId="01FE89BF" w14:textId="37C1023A" w:rsidR="002419A7" w:rsidRDefault="002419A7" w:rsidP="002419A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 xml:space="preserve">Be satisfied that </w:t>
            </w:r>
            <w:r w:rsidR="00C34E98">
              <w:rPr>
                <w:rFonts w:cs="Calibri"/>
                <w:szCs w:val="22"/>
                <w:lang w:bidi="en-US"/>
              </w:rPr>
              <w:t xml:space="preserve">they </w:t>
            </w:r>
            <w:r>
              <w:rPr>
                <w:rFonts w:cs="Calibri"/>
                <w:szCs w:val="22"/>
                <w:lang w:bidi="en-US"/>
              </w:rPr>
              <w:t xml:space="preserve">understand the </w:t>
            </w:r>
            <w:r w:rsidR="00566ECF">
              <w:rPr>
                <w:rFonts w:cs="Calibri"/>
                <w:szCs w:val="22"/>
                <w:lang w:bidi="en-US"/>
              </w:rPr>
              <w:t>responsibilities</w:t>
            </w:r>
            <w:r w:rsidR="00C34E98">
              <w:rPr>
                <w:rFonts w:cs="Calibri"/>
                <w:szCs w:val="22"/>
                <w:lang w:bidi="en-US"/>
              </w:rPr>
              <w:t>,</w:t>
            </w:r>
            <w:r w:rsidR="00566ECF">
              <w:rPr>
                <w:rFonts w:cs="Calibri"/>
                <w:szCs w:val="22"/>
                <w:lang w:bidi="en-US"/>
              </w:rPr>
              <w:t xml:space="preserve"> limitations</w:t>
            </w:r>
            <w:r w:rsidR="00C34E98">
              <w:rPr>
                <w:rFonts w:cs="Calibri"/>
                <w:szCs w:val="22"/>
                <w:lang w:bidi="en-US"/>
              </w:rPr>
              <w:t xml:space="preserve"> and conditions</w:t>
            </w:r>
            <w:r w:rsidR="00566ECF">
              <w:rPr>
                <w:rFonts w:cs="Calibri"/>
                <w:szCs w:val="22"/>
                <w:lang w:bidi="en-US"/>
              </w:rPr>
              <w:t xml:space="preserve"> </w:t>
            </w:r>
            <w:r>
              <w:rPr>
                <w:rFonts w:cs="Calibri"/>
                <w:szCs w:val="22"/>
                <w:lang w:bidi="en-US"/>
              </w:rPr>
              <w:t>of</w:t>
            </w:r>
            <w:r w:rsidR="00566ECF">
              <w:rPr>
                <w:rFonts w:cs="Calibri"/>
                <w:szCs w:val="22"/>
                <w:lang w:bidi="en-US"/>
              </w:rPr>
              <w:t xml:space="preserve"> the</w:t>
            </w:r>
            <w:r>
              <w:rPr>
                <w:rFonts w:cs="Calibri"/>
                <w:szCs w:val="22"/>
                <w:lang w:bidi="en-US"/>
              </w:rPr>
              <w:t xml:space="preserve"> appointment;</w:t>
            </w:r>
          </w:p>
          <w:p w14:paraId="1CF727C0" w14:textId="175A612F" w:rsidR="002419A7" w:rsidRPr="002419A7" w:rsidRDefault="002419A7" w:rsidP="002419A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 xml:space="preserve">Ensure </w:t>
            </w:r>
            <w:r w:rsidR="00C34E98">
              <w:rPr>
                <w:rFonts w:cs="Calibri"/>
                <w:szCs w:val="22"/>
                <w:lang w:bidi="en-US"/>
              </w:rPr>
              <w:t xml:space="preserve">they </w:t>
            </w:r>
            <w:r>
              <w:rPr>
                <w:rFonts w:cs="Calibri"/>
                <w:szCs w:val="22"/>
                <w:lang w:bidi="en-US"/>
              </w:rPr>
              <w:t>ha</w:t>
            </w:r>
            <w:r w:rsidR="00C34E98">
              <w:rPr>
                <w:rFonts w:cs="Calibri"/>
                <w:szCs w:val="22"/>
                <w:lang w:bidi="en-US"/>
              </w:rPr>
              <w:t>ve</w:t>
            </w:r>
            <w:r>
              <w:rPr>
                <w:rFonts w:cs="Calibri"/>
                <w:szCs w:val="22"/>
                <w:lang w:bidi="en-US"/>
              </w:rPr>
              <w:t xml:space="preserve"> the necessary skills and knowledge to </w:t>
            </w:r>
            <w:r w:rsidR="00753097">
              <w:rPr>
                <w:rFonts w:cs="Calibri"/>
                <w:szCs w:val="22"/>
                <w:lang w:bidi="en-US"/>
              </w:rPr>
              <w:t>exercise</w:t>
            </w:r>
            <w:r>
              <w:rPr>
                <w:rFonts w:cs="Calibri"/>
                <w:szCs w:val="22"/>
                <w:lang w:bidi="en-US"/>
              </w:rPr>
              <w:t xml:space="preserve"> the appointment. </w:t>
            </w:r>
          </w:p>
        </w:tc>
      </w:tr>
    </w:tbl>
    <w:p w14:paraId="71A73A37" w14:textId="77777777" w:rsidR="00600A81" w:rsidRPr="001467D5" w:rsidRDefault="006A7D59" w:rsidP="001467D5">
      <w:pPr>
        <w:pStyle w:val="Heading2"/>
        <w:rPr>
          <w:highlight w:val="yellow"/>
        </w:rPr>
      </w:pPr>
      <w:bookmarkStart w:id="3" w:name="_Toc489874788"/>
      <w:r w:rsidRPr="003B4498">
        <w:lastRenderedPageBreak/>
        <w:t>Procedure</w:t>
      </w:r>
      <w:r>
        <w:t xml:space="preserve"> – Description of activities</w:t>
      </w:r>
      <w:bookmarkEnd w:id="3"/>
    </w:p>
    <w:p w14:paraId="37713E33" w14:textId="77777777" w:rsidR="007624BE" w:rsidRDefault="0060083D" w:rsidP="006A7D59">
      <w:pPr>
        <w:pStyle w:val="Heading3"/>
        <w:numPr>
          <w:ilvl w:val="0"/>
          <w:numId w:val="2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PRELIMINARY STEPS</w:t>
      </w:r>
    </w:p>
    <w:p w14:paraId="0E6C0BDD" w14:textId="77777777" w:rsidR="006A7D59" w:rsidRPr="005A0882" w:rsidRDefault="00D55077" w:rsidP="0060083D">
      <w:pPr>
        <w:pStyle w:val="ListParagraph"/>
        <w:numPr>
          <w:ilvl w:val="1"/>
          <w:numId w:val="2"/>
        </w:numPr>
        <w:rPr>
          <w:b/>
          <w:i/>
          <w:color w:val="5B9BD5" w:themeColor="accent5"/>
        </w:rPr>
      </w:pPr>
      <w:r w:rsidRPr="005A0882">
        <w:rPr>
          <w:b/>
          <w:i/>
          <w:color w:val="5B9BD5" w:themeColor="accent5"/>
        </w:rPr>
        <w:t>Identify source of power</w:t>
      </w:r>
      <w:r w:rsidR="00B7358B" w:rsidRPr="005A0882">
        <w:rPr>
          <w:b/>
          <w:i/>
          <w:color w:val="5B9BD5" w:themeColor="accent5"/>
        </w:rPr>
        <w:t xml:space="preserve">- </w:t>
      </w:r>
      <w:r w:rsidR="00B7358B" w:rsidRPr="005A0882">
        <w:rPr>
          <w:b/>
          <w:i/>
          <w:color w:val="5B9BD5" w:themeColor="accent5"/>
          <w:u w:val="single"/>
        </w:rPr>
        <w:t>statutory appointments only</w:t>
      </w:r>
    </w:p>
    <w:p w14:paraId="620FCEE3" w14:textId="374B1CE2" w:rsidR="006A7D59" w:rsidRPr="0070169F" w:rsidRDefault="006A7D59" w:rsidP="00C34E98">
      <w:pPr>
        <w:pStyle w:val="ListParagraph"/>
        <w:numPr>
          <w:ilvl w:val="0"/>
          <w:numId w:val="3"/>
        </w:numPr>
        <w:ind w:left="851"/>
        <w:rPr>
          <w:b/>
        </w:rPr>
      </w:pPr>
      <w:r w:rsidRPr="0070169F">
        <w:t>Locate in the Act the power to make the appointment,</w:t>
      </w:r>
      <w:r w:rsidR="001052C6">
        <w:t xml:space="preserve"> any limitations </w:t>
      </w:r>
      <w:r w:rsidR="00C34E98">
        <w:t xml:space="preserve">or conditions </w:t>
      </w:r>
      <w:r w:rsidR="001052C6">
        <w:t>on this power,</w:t>
      </w:r>
      <w:r w:rsidRPr="0070169F">
        <w:t xml:space="preserve"> and who is </w:t>
      </w:r>
      <w:r w:rsidR="00D65477">
        <w:t xml:space="preserve">the </w:t>
      </w:r>
      <w:r w:rsidRPr="0070169F">
        <w:t xml:space="preserve">responsible </w:t>
      </w:r>
      <w:r w:rsidR="00D65477">
        <w:t xml:space="preserve">appointer </w:t>
      </w:r>
      <w:r w:rsidRPr="0070169F">
        <w:t>(Minister/DG/</w:t>
      </w:r>
      <w:r w:rsidR="00753097">
        <w:t>DDG/</w:t>
      </w:r>
      <w:r w:rsidRPr="0070169F">
        <w:t>other)</w:t>
      </w:r>
      <w:r w:rsidR="00E35851">
        <w:t>.</w:t>
      </w:r>
    </w:p>
    <w:p w14:paraId="1380BDBF" w14:textId="77777777" w:rsidR="006A7D59" w:rsidRPr="00224872" w:rsidRDefault="006A7D59" w:rsidP="00C34E98">
      <w:pPr>
        <w:pStyle w:val="ListParagraph"/>
        <w:numPr>
          <w:ilvl w:val="0"/>
          <w:numId w:val="3"/>
        </w:numPr>
        <w:ind w:left="851"/>
        <w:rPr>
          <w:b/>
        </w:rPr>
      </w:pPr>
      <w:r w:rsidRPr="00224872">
        <w:t xml:space="preserve">Check whether Act provides that </w:t>
      </w:r>
      <w:r w:rsidR="00CA597E">
        <w:t xml:space="preserve">the </w:t>
      </w:r>
      <w:r w:rsidRPr="00224872">
        <w:t>instrument is a DI or NI</w:t>
      </w:r>
      <w:r w:rsidR="00B94555">
        <w:t>.</w:t>
      </w:r>
    </w:p>
    <w:p w14:paraId="4CFC15B6" w14:textId="77777777" w:rsidR="0060083D" w:rsidRDefault="006A7D59" w:rsidP="00C34E98">
      <w:pPr>
        <w:pStyle w:val="ListParagraph"/>
        <w:numPr>
          <w:ilvl w:val="0"/>
          <w:numId w:val="3"/>
        </w:numPr>
        <w:ind w:left="851"/>
      </w:pPr>
      <w:r w:rsidRPr="00224872">
        <w:t>If the Act does not specify that the instrument is an NI or DI, it is treated similar to a NI and is notified on the register for accountability</w:t>
      </w:r>
      <w:r>
        <w:t xml:space="preserve"> and </w:t>
      </w:r>
      <w:r w:rsidRPr="00224872">
        <w:t>transparency. Note in the brief that it is not strictly an N</w:t>
      </w:r>
      <w:r w:rsidR="00B94555">
        <w:t>I.</w:t>
      </w:r>
    </w:p>
    <w:p w14:paraId="7DD9D256" w14:textId="579FE523" w:rsidR="0060083D" w:rsidRDefault="006A7D59" w:rsidP="00C34E98">
      <w:pPr>
        <w:pStyle w:val="ListParagraph"/>
        <w:numPr>
          <w:ilvl w:val="0"/>
          <w:numId w:val="3"/>
        </w:numPr>
        <w:ind w:left="851"/>
      </w:pPr>
      <w:r w:rsidRPr="0070169F">
        <w:t>Check whether there is currently an instrument in place</w:t>
      </w:r>
      <w:r>
        <w:t xml:space="preserve"> addressing the proposed appointment</w:t>
      </w:r>
      <w:r w:rsidRPr="0070169F">
        <w:t xml:space="preserve">. If so, provide for revocation </w:t>
      </w:r>
      <w:r>
        <w:t>in the new instrument</w:t>
      </w:r>
      <w:r w:rsidR="00C34E98">
        <w:t>,</w:t>
      </w:r>
      <w:r>
        <w:t xml:space="preserve"> </w:t>
      </w:r>
      <w:r w:rsidRPr="0070169F">
        <w:t xml:space="preserve">if necessary. </w:t>
      </w:r>
    </w:p>
    <w:p w14:paraId="28672AAD" w14:textId="77777777" w:rsidR="003629F6" w:rsidRPr="0060083D" w:rsidRDefault="003629F6" w:rsidP="003629F6">
      <w:pPr>
        <w:pStyle w:val="ListParagraph"/>
        <w:ind w:left="1440"/>
      </w:pPr>
    </w:p>
    <w:p w14:paraId="18DCE506" w14:textId="77777777" w:rsidR="009F51AC" w:rsidRPr="00957C97" w:rsidRDefault="003629F6" w:rsidP="00957C97">
      <w:pPr>
        <w:pStyle w:val="ListParagraph"/>
        <w:numPr>
          <w:ilvl w:val="1"/>
          <w:numId w:val="2"/>
        </w:numPr>
        <w:rPr>
          <w:b/>
          <w:i/>
          <w:color w:val="5B9BD5" w:themeColor="accent5"/>
        </w:rPr>
      </w:pPr>
      <w:r>
        <w:rPr>
          <w:b/>
          <w:i/>
          <w:color w:val="5B9BD5" w:themeColor="accent5"/>
        </w:rPr>
        <w:t xml:space="preserve">Contact </w:t>
      </w:r>
      <w:r w:rsidR="00483582">
        <w:rPr>
          <w:b/>
          <w:i/>
          <w:color w:val="5B9BD5" w:themeColor="accent5"/>
        </w:rPr>
        <w:t>Legal Services and Integrity</w:t>
      </w:r>
      <w:r>
        <w:rPr>
          <w:b/>
          <w:i/>
          <w:color w:val="5B9BD5" w:themeColor="accent5"/>
        </w:rPr>
        <w:t xml:space="preserve"> early </w:t>
      </w:r>
    </w:p>
    <w:p w14:paraId="6D4AD72A" w14:textId="7BBCC5BA" w:rsidR="00214B7B" w:rsidRPr="007B5AF6" w:rsidRDefault="002F47DE" w:rsidP="00C34E98">
      <w:pPr>
        <w:pStyle w:val="ListParagraph"/>
        <w:numPr>
          <w:ilvl w:val="0"/>
          <w:numId w:val="25"/>
        </w:numPr>
        <w:ind w:left="851"/>
        <w:rPr>
          <w:b/>
        </w:rPr>
      </w:pPr>
      <w:hyperlink r:id="rId11" w:history="1">
        <w:r w:rsidR="00483582">
          <w:rPr>
            <w:rStyle w:val="Hyperlink"/>
          </w:rPr>
          <w:t>Legal Services and Integrity</w:t>
        </w:r>
      </w:hyperlink>
      <w:r w:rsidR="005C7BB5">
        <w:rPr>
          <w:rStyle w:val="Hyperlink"/>
        </w:rPr>
        <w:t xml:space="preserve"> </w:t>
      </w:r>
      <w:r w:rsidR="006A7D59" w:rsidRPr="0070169F">
        <w:t xml:space="preserve">can </w:t>
      </w:r>
      <w:r w:rsidR="00C34E98">
        <w:t xml:space="preserve">assist in </w:t>
      </w:r>
      <w:r w:rsidR="006A7D59" w:rsidRPr="0070169F">
        <w:t>identify</w:t>
      </w:r>
      <w:r w:rsidR="00C34E98">
        <w:t>ing</w:t>
      </w:r>
      <w:r w:rsidR="006A7D59" w:rsidRPr="0070169F">
        <w:t xml:space="preserve"> issues early in the process and can </w:t>
      </w:r>
      <w:proofErr w:type="gramStart"/>
      <w:r w:rsidR="006A7D59" w:rsidRPr="0070169F">
        <w:t>provide assistance</w:t>
      </w:r>
      <w:proofErr w:type="gramEnd"/>
      <w:r w:rsidR="006A7D59" w:rsidRPr="0070169F">
        <w:t xml:space="preserve"> with drafting</w:t>
      </w:r>
      <w:r w:rsidR="00957C97">
        <w:t xml:space="preserve"> the</w:t>
      </w:r>
      <w:r w:rsidR="00C34E98">
        <w:t xml:space="preserve"> appointment material</w:t>
      </w:r>
      <w:r w:rsidR="00957C97">
        <w:t xml:space="preserve"> and </w:t>
      </w:r>
      <w:r w:rsidR="00E35851">
        <w:t xml:space="preserve">guidance on the appointment process. </w:t>
      </w:r>
    </w:p>
    <w:p w14:paraId="13FA6ED4" w14:textId="77777777" w:rsidR="00C66533" w:rsidRPr="007B5AF6" w:rsidRDefault="00C66533" w:rsidP="007B5AF6">
      <w:pPr>
        <w:pStyle w:val="ListParagraph"/>
        <w:ind w:left="851"/>
        <w:rPr>
          <w:b/>
        </w:rPr>
      </w:pPr>
    </w:p>
    <w:p w14:paraId="60AE56B2" w14:textId="07F833A9" w:rsidR="00C66533" w:rsidRPr="007B5AF6" w:rsidRDefault="00C66533" w:rsidP="007B5AF6">
      <w:pPr>
        <w:pStyle w:val="ListParagraph"/>
        <w:numPr>
          <w:ilvl w:val="1"/>
          <w:numId w:val="2"/>
        </w:numPr>
        <w:rPr>
          <w:b/>
          <w:i/>
          <w:color w:val="5B9BD5" w:themeColor="accent5"/>
        </w:rPr>
      </w:pPr>
      <w:r w:rsidRPr="007B5AF6">
        <w:rPr>
          <w:b/>
          <w:i/>
          <w:color w:val="5B9BD5" w:themeColor="accent5"/>
        </w:rPr>
        <w:t xml:space="preserve">Contact </w:t>
      </w:r>
      <w:r>
        <w:rPr>
          <w:b/>
          <w:i/>
          <w:color w:val="5B9BD5" w:themeColor="accent5"/>
        </w:rPr>
        <w:t xml:space="preserve">Government Services </w:t>
      </w:r>
      <w:r w:rsidRPr="007B5AF6">
        <w:rPr>
          <w:b/>
          <w:i/>
          <w:color w:val="5B9BD5" w:themeColor="accent5"/>
        </w:rPr>
        <w:t xml:space="preserve">early </w:t>
      </w:r>
    </w:p>
    <w:p w14:paraId="1B40E0C1" w14:textId="755471BD" w:rsidR="00C66533" w:rsidRPr="005731B6" w:rsidRDefault="002F47DE" w:rsidP="007B5AF6">
      <w:pPr>
        <w:pStyle w:val="ListParagraph"/>
        <w:numPr>
          <w:ilvl w:val="0"/>
          <w:numId w:val="25"/>
        </w:numPr>
        <w:ind w:left="851"/>
        <w:rPr>
          <w:b/>
        </w:rPr>
      </w:pPr>
      <w:hyperlink r:id="rId12" w:history="1">
        <w:r w:rsidR="003F74F7" w:rsidRPr="003F74F7">
          <w:rPr>
            <w:rStyle w:val="Hyperlink"/>
          </w:rPr>
          <w:t>Government Services</w:t>
        </w:r>
      </w:hyperlink>
      <w:r w:rsidR="003F74F7">
        <w:t xml:space="preserve"> can assist with scheduling of the Appointment Paper for Cabinet consideration, provide timelines and administrative support.</w:t>
      </w:r>
    </w:p>
    <w:p w14:paraId="6B2D6B1A" w14:textId="77777777" w:rsidR="005731B6" w:rsidRPr="00214B7B" w:rsidRDefault="005731B6" w:rsidP="005731B6">
      <w:pPr>
        <w:pStyle w:val="ListParagraph"/>
        <w:ind w:left="1494"/>
        <w:rPr>
          <w:b/>
        </w:rPr>
      </w:pPr>
    </w:p>
    <w:p w14:paraId="4872C698" w14:textId="77777777" w:rsidR="006A7D59" w:rsidRPr="009B2CD6" w:rsidRDefault="006A7D59" w:rsidP="003629F6">
      <w:pPr>
        <w:pStyle w:val="ListParagraph"/>
        <w:numPr>
          <w:ilvl w:val="1"/>
          <w:numId w:val="2"/>
        </w:numPr>
        <w:rPr>
          <w:b/>
          <w:i/>
          <w:color w:val="5B9BD5" w:themeColor="accent5"/>
        </w:rPr>
      </w:pPr>
      <w:r w:rsidRPr="009B2CD6">
        <w:rPr>
          <w:b/>
          <w:i/>
          <w:color w:val="5B9BD5" w:themeColor="accent5"/>
        </w:rPr>
        <w:t>Contact Communications early</w:t>
      </w:r>
    </w:p>
    <w:p w14:paraId="7639A2B0" w14:textId="57C1D90D" w:rsidR="00214B7B" w:rsidRPr="00910C7D" w:rsidRDefault="006A7D59" w:rsidP="00C34E98">
      <w:pPr>
        <w:pStyle w:val="ListParagraph"/>
        <w:numPr>
          <w:ilvl w:val="0"/>
          <w:numId w:val="25"/>
        </w:numPr>
        <w:ind w:left="851"/>
        <w:rPr>
          <w:b/>
        </w:rPr>
      </w:pPr>
      <w:r>
        <w:t>Contact</w:t>
      </w:r>
      <w:r w:rsidRPr="0070169F">
        <w:t xml:space="preserve"> </w:t>
      </w:r>
      <w:hyperlink r:id="rId13" w:history="1">
        <w:r w:rsidRPr="00785AFD">
          <w:rPr>
            <w:rStyle w:val="Hyperlink"/>
          </w:rPr>
          <w:t>Communications</w:t>
        </w:r>
      </w:hyperlink>
      <w:r w:rsidRPr="0070169F">
        <w:t xml:space="preserve"> </w:t>
      </w:r>
      <w:r>
        <w:t xml:space="preserve">to </w:t>
      </w:r>
      <w:r w:rsidR="00BA2D08">
        <w:t xml:space="preserve">enquire </w:t>
      </w:r>
      <w:r w:rsidR="0035081F">
        <w:t>if any media material is required.</w:t>
      </w:r>
    </w:p>
    <w:p w14:paraId="1C23223D" w14:textId="77777777" w:rsidR="00BA2D08" w:rsidRDefault="00BA2D08" w:rsidP="00910C7D">
      <w:pPr>
        <w:pStyle w:val="ListParagraph"/>
        <w:ind w:left="1494"/>
        <w:rPr>
          <w:b/>
        </w:rPr>
      </w:pPr>
    </w:p>
    <w:p w14:paraId="1A87D405" w14:textId="77777777" w:rsidR="00910C7D" w:rsidRPr="0070497F" w:rsidRDefault="0070497F" w:rsidP="0070497F">
      <w:pPr>
        <w:pStyle w:val="Heading3"/>
        <w:numPr>
          <w:ilvl w:val="0"/>
          <w:numId w:val="2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SEEK APPROVAL TO CONDUCT PROCESS</w:t>
      </w:r>
      <w:r w:rsidR="00910C7D" w:rsidRPr="0070497F">
        <w:rPr>
          <w:i/>
          <w:color w:val="5B9BD5" w:themeColor="accent5"/>
        </w:rPr>
        <w:t xml:space="preserve">- </w:t>
      </w:r>
      <w:r w:rsidR="00910C7D" w:rsidRPr="0070497F">
        <w:rPr>
          <w:i/>
          <w:color w:val="5B9BD5" w:themeColor="accent5"/>
          <w:u w:val="single"/>
        </w:rPr>
        <w:t>Ministerial appointments only</w:t>
      </w:r>
    </w:p>
    <w:p w14:paraId="67DD8D9E" w14:textId="660BC537" w:rsidR="00910C7D" w:rsidRPr="00483582" w:rsidRDefault="00910C7D" w:rsidP="00C34E98">
      <w:pPr>
        <w:pStyle w:val="ListParagraph"/>
        <w:numPr>
          <w:ilvl w:val="0"/>
          <w:numId w:val="25"/>
        </w:numPr>
        <w:ind w:left="851"/>
        <w:rPr>
          <w:b/>
        </w:rPr>
      </w:pPr>
      <w:r>
        <w:t xml:space="preserve">Prepare a brief to the responsible Minister seeking approval to conduct the appointment process. Once cleared by the head of the policy area, send </w:t>
      </w:r>
      <w:r w:rsidR="0035081F">
        <w:t xml:space="preserve">the brief </w:t>
      </w:r>
      <w:r>
        <w:t xml:space="preserve">to </w:t>
      </w:r>
      <w:r w:rsidR="00483582">
        <w:t>Legal Services and Integrity</w:t>
      </w:r>
      <w:r>
        <w:t xml:space="preserve"> for </w:t>
      </w:r>
      <w:r w:rsidR="00A920DA">
        <w:t>clearance</w:t>
      </w:r>
      <w:r w:rsidR="00C34E98">
        <w:t xml:space="preserve"> prior to seeking Executive </w:t>
      </w:r>
      <w:r w:rsidR="003F74F7">
        <w:t xml:space="preserve">(EGM/EBM) </w:t>
      </w:r>
      <w:r w:rsidR="00C34E98">
        <w:t>approval</w:t>
      </w:r>
      <w:r w:rsidR="00A11B15">
        <w:t xml:space="preserve">. </w:t>
      </w:r>
      <w:r w:rsidR="003F74F7">
        <w:t xml:space="preserve">Once EGM/EBM approval obtained, send the brief to EPSD Government Services, who will seek DDG/COO/DG clearance and then facilitate provision to Minister’s Office. </w:t>
      </w:r>
      <w:r w:rsidR="00A11B15" w:rsidRPr="000E54DA">
        <w:rPr>
          <w:rFonts w:asciiTheme="minorHAnsi" w:hAnsiTheme="minorHAnsi" w:cstheme="minorHAnsi"/>
        </w:rPr>
        <w:t xml:space="preserve">Template briefs </w:t>
      </w:r>
      <w:r w:rsidR="00A11B15">
        <w:rPr>
          <w:rFonts w:asciiTheme="minorHAnsi" w:hAnsiTheme="minorHAnsi" w:cstheme="minorHAnsi"/>
        </w:rPr>
        <w:t xml:space="preserve">can be found </w:t>
      </w:r>
      <w:hyperlink r:id="rId14" w:history="1">
        <w:r w:rsidR="00A11B15" w:rsidRPr="000E54DA">
          <w:rPr>
            <w:rStyle w:val="Hyperlink"/>
            <w:rFonts w:asciiTheme="minorHAnsi" w:hAnsiTheme="minorHAnsi" w:cstheme="minorHAnsi"/>
          </w:rPr>
          <w:t>here</w:t>
        </w:r>
      </w:hyperlink>
      <w:r w:rsidR="00A11B15" w:rsidRPr="000E54DA">
        <w:rPr>
          <w:rFonts w:asciiTheme="minorHAnsi" w:hAnsiTheme="minorHAnsi" w:cstheme="minorHAnsi"/>
        </w:rPr>
        <w:t>.</w:t>
      </w:r>
      <w:r w:rsidR="00A11B15" w:rsidRPr="0006570A">
        <w:rPr>
          <w:rFonts w:asciiTheme="minorHAnsi" w:hAnsiTheme="minorHAnsi" w:cstheme="minorHAnsi"/>
        </w:rPr>
        <w:t xml:space="preserve"> </w:t>
      </w:r>
    </w:p>
    <w:p w14:paraId="398EE361" w14:textId="77777777" w:rsidR="00DD0737" w:rsidRPr="0070497F" w:rsidRDefault="00DD0737" w:rsidP="00DD0737">
      <w:pPr>
        <w:pStyle w:val="Heading3"/>
        <w:numPr>
          <w:ilvl w:val="0"/>
          <w:numId w:val="2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SELECTION</w:t>
      </w:r>
      <w:r w:rsidR="00723352">
        <w:rPr>
          <w:i/>
          <w:color w:val="5B9BD5" w:themeColor="accent5"/>
          <w:szCs w:val="26"/>
        </w:rPr>
        <w:t xml:space="preserve"> PROCESS</w:t>
      </w:r>
    </w:p>
    <w:p w14:paraId="39B5D92E" w14:textId="77777777" w:rsidR="00A920DA" w:rsidRPr="00DD0737" w:rsidRDefault="00B7358B" w:rsidP="00C34E98">
      <w:pPr>
        <w:pStyle w:val="ListParagraph"/>
        <w:numPr>
          <w:ilvl w:val="0"/>
          <w:numId w:val="25"/>
        </w:numPr>
        <w:ind w:left="851"/>
        <w:rPr>
          <w:b/>
        </w:rPr>
      </w:pPr>
      <w:r>
        <w:t xml:space="preserve">Comply with all recruitment processes to identify suitable candidates. </w:t>
      </w:r>
    </w:p>
    <w:p w14:paraId="1059847E" w14:textId="77777777" w:rsidR="00B7358B" w:rsidRPr="00B7358B" w:rsidRDefault="00B7358B" w:rsidP="00C34E98">
      <w:pPr>
        <w:pStyle w:val="ListParagraph"/>
        <w:numPr>
          <w:ilvl w:val="0"/>
          <w:numId w:val="25"/>
        </w:numPr>
        <w:ind w:left="851"/>
        <w:rPr>
          <w:b/>
        </w:rPr>
      </w:pPr>
      <w:r>
        <w:t>Make contact with potential appointees to confirm their capacity and willingness to accept the appointment.</w:t>
      </w:r>
    </w:p>
    <w:p w14:paraId="553C93E3" w14:textId="77777777" w:rsidR="00A24D7D" w:rsidRPr="00482BD4" w:rsidRDefault="00B7358B" w:rsidP="00C34E98">
      <w:pPr>
        <w:pStyle w:val="ListParagraph"/>
        <w:numPr>
          <w:ilvl w:val="0"/>
          <w:numId w:val="25"/>
        </w:numPr>
        <w:ind w:left="851"/>
        <w:rPr>
          <w:rStyle w:val="Hyperlink"/>
          <w:b/>
          <w:color w:val="auto"/>
          <w:u w:val="none"/>
        </w:rPr>
      </w:pPr>
      <w:r>
        <w:t xml:space="preserve">Refer to the </w:t>
      </w:r>
      <w:hyperlink r:id="rId15" w:history="1">
        <w:r w:rsidRPr="008E44B5">
          <w:rPr>
            <w:rStyle w:val="Hyperlink"/>
            <w:rFonts w:asciiTheme="minorHAnsi" w:hAnsiTheme="minorHAnsi" w:cstheme="minorHAnsi"/>
            <w:szCs w:val="22"/>
          </w:rPr>
          <w:t>Appointments, Boards and Committee’s handbook</w:t>
        </w:r>
      </w:hyperlink>
      <w:r>
        <w:rPr>
          <w:rStyle w:val="Hyperlink"/>
          <w:rFonts w:asciiTheme="minorHAnsi" w:hAnsiTheme="minorHAnsi" w:cstheme="minorHAnsi"/>
          <w:szCs w:val="22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for further detail on </w:t>
      </w:r>
      <w:r w:rsidR="007B6F78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the </w:t>
      </w:r>
      <w:r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selection process.</w:t>
      </w:r>
    </w:p>
    <w:p w14:paraId="10025B90" w14:textId="77777777" w:rsidR="00A24D7D" w:rsidRPr="00DD0737" w:rsidRDefault="00DD0737" w:rsidP="00DD0737">
      <w:pPr>
        <w:pStyle w:val="Heading3"/>
        <w:numPr>
          <w:ilvl w:val="0"/>
          <w:numId w:val="2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DRAFT INSTRUMENT- S</w:t>
      </w:r>
      <w:r w:rsidR="00482BD4" w:rsidRPr="00DD0737">
        <w:rPr>
          <w:i/>
          <w:color w:val="5B9BD5" w:themeColor="accent5"/>
          <w:u w:val="single"/>
        </w:rPr>
        <w:t>tatutory appointments only</w:t>
      </w:r>
    </w:p>
    <w:p w14:paraId="457F4C99" w14:textId="77777777" w:rsidR="006A7D59" w:rsidRPr="0070169F" w:rsidRDefault="006A7D59" w:rsidP="00C34E98">
      <w:pPr>
        <w:pStyle w:val="ListParagraph"/>
        <w:numPr>
          <w:ilvl w:val="0"/>
          <w:numId w:val="4"/>
        </w:numPr>
        <w:ind w:left="851"/>
      </w:pPr>
      <w:r w:rsidRPr="0070169F">
        <w:t xml:space="preserve">Refer to </w:t>
      </w:r>
      <w:hyperlink r:id="rId16" w:history="1">
        <w:r w:rsidRPr="0070169F">
          <w:rPr>
            <w:rStyle w:val="Hyperlink"/>
          </w:rPr>
          <w:t>Parliamentary Counsel checklist</w:t>
        </w:r>
      </w:hyperlink>
      <w:r w:rsidRPr="0070169F">
        <w:t xml:space="preserve"> for drafting of instruments.</w:t>
      </w:r>
    </w:p>
    <w:p w14:paraId="3FAA66A5" w14:textId="3FD0E775" w:rsidR="00A24D7D" w:rsidRDefault="006A7D59" w:rsidP="00C34E98">
      <w:pPr>
        <w:pStyle w:val="ListParagraph"/>
        <w:numPr>
          <w:ilvl w:val="0"/>
          <w:numId w:val="4"/>
        </w:numPr>
        <w:ind w:left="851"/>
      </w:pPr>
      <w:r w:rsidRPr="0070169F">
        <w:t xml:space="preserve">View other example instruments on </w:t>
      </w:r>
      <w:hyperlink r:id="rId17" w:history="1">
        <w:r w:rsidRPr="0070169F">
          <w:rPr>
            <w:rStyle w:val="Hyperlink"/>
          </w:rPr>
          <w:t>Legislation register</w:t>
        </w:r>
      </w:hyperlink>
      <w:r w:rsidRPr="0070169F">
        <w:t xml:space="preserve">. </w:t>
      </w:r>
    </w:p>
    <w:p w14:paraId="4C4C3F68" w14:textId="77777777" w:rsidR="007B5AF6" w:rsidRDefault="007B5AF6" w:rsidP="007B5AF6">
      <w:pPr>
        <w:pStyle w:val="ListParagraph"/>
        <w:ind w:left="851"/>
      </w:pPr>
    </w:p>
    <w:p w14:paraId="07309259" w14:textId="77777777" w:rsidR="0035081F" w:rsidRPr="0035081F" w:rsidRDefault="002D4FCB" w:rsidP="0035081F">
      <w:pPr>
        <w:pStyle w:val="Heading3"/>
        <w:numPr>
          <w:ilvl w:val="0"/>
          <w:numId w:val="2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DRAFT APPROVAL OF INSTRUMENTS FORM/MINISTERIAL BRIEF</w:t>
      </w:r>
    </w:p>
    <w:p w14:paraId="6D6B21F7" w14:textId="77777777" w:rsidR="008D063A" w:rsidRDefault="008D063A" w:rsidP="00C34E98">
      <w:pPr>
        <w:pStyle w:val="ListParagraph"/>
        <w:numPr>
          <w:ilvl w:val="0"/>
          <w:numId w:val="23"/>
        </w:numPr>
        <w:ind w:left="426" w:hanging="426"/>
        <w:rPr>
          <w:b/>
        </w:rPr>
      </w:pPr>
      <w:r>
        <w:rPr>
          <w:b/>
        </w:rPr>
        <w:t>DDG/DG/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appointer</w:t>
      </w:r>
    </w:p>
    <w:p w14:paraId="4203056E" w14:textId="6A087348" w:rsidR="006A7D59" w:rsidRPr="008D063A" w:rsidRDefault="008D063A" w:rsidP="008D063A">
      <w:pPr>
        <w:rPr>
          <w:b/>
        </w:rPr>
      </w:pPr>
      <w:r>
        <w:lastRenderedPageBreak/>
        <w:t xml:space="preserve">Prepare an </w:t>
      </w:r>
      <w:r w:rsidR="000A60ED">
        <w:t>approval of instruments form</w:t>
      </w:r>
      <w:r>
        <w:t xml:space="preserve">. </w:t>
      </w:r>
      <w:r w:rsidR="00F96699">
        <w:t xml:space="preserve">The form should clearly address </w:t>
      </w:r>
      <w:r w:rsidR="00FD4525">
        <w:t>the power under which the appointment is made, and any limitations on the power</w:t>
      </w:r>
      <w:r w:rsidR="0035081F">
        <w:t>.</w:t>
      </w:r>
      <w:r w:rsidR="00FD4525">
        <w:t xml:space="preserve"> </w:t>
      </w:r>
      <w:r w:rsidR="00C34E98">
        <w:t xml:space="preserve">The approval of instrument form should also clearly identify how any conditions have been met, if any. </w:t>
      </w:r>
      <w:r>
        <w:t>A template form</w:t>
      </w:r>
      <w:r w:rsidR="006427DF" w:rsidRPr="00867C80">
        <w:t xml:space="preserve"> can be found </w:t>
      </w:r>
      <w:hyperlink r:id="rId18" w:history="1">
        <w:r w:rsidR="006427DF" w:rsidRPr="00867C80">
          <w:rPr>
            <w:rStyle w:val="Hyperlink"/>
          </w:rPr>
          <w:t>here</w:t>
        </w:r>
      </w:hyperlink>
      <w:r w:rsidR="006427DF" w:rsidRPr="00867C80">
        <w:t>.</w:t>
      </w:r>
    </w:p>
    <w:p w14:paraId="08F41AD1" w14:textId="77777777" w:rsidR="008D063A" w:rsidRPr="008E44B5" w:rsidRDefault="008D063A" w:rsidP="00C34E98">
      <w:pPr>
        <w:pStyle w:val="ListParagraph"/>
        <w:numPr>
          <w:ilvl w:val="0"/>
          <w:numId w:val="23"/>
        </w:numPr>
        <w:ind w:left="426" w:hanging="426"/>
      </w:pPr>
      <w:r>
        <w:rPr>
          <w:b/>
        </w:rPr>
        <w:t>Minister</w:t>
      </w:r>
      <w:r w:rsidR="00FF702E">
        <w:rPr>
          <w:b/>
        </w:rPr>
        <w:t>/Executive appointer</w:t>
      </w:r>
    </w:p>
    <w:p w14:paraId="17B56CD7" w14:textId="41D7F953" w:rsidR="005424D8" w:rsidRDefault="008D063A" w:rsidP="005424D8">
      <w:r>
        <w:t>Prepare a Ministerial brief</w:t>
      </w:r>
      <w:r w:rsidR="00B8602C">
        <w:t xml:space="preserve"> and Cabinet Appointment Paper</w:t>
      </w:r>
      <w:r w:rsidR="00B516E8">
        <w:t>,</w:t>
      </w:r>
      <w:r>
        <w:t xml:space="preserve"> seeking Cabinet </w:t>
      </w:r>
      <w:r w:rsidR="00C34E98">
        <w:t>endorsement</w:t>
      </w:r>
      <w:r>
        <w:t xml:space="preserve"> of the appointment</w:t>
      </w:r>
      <w:r w:rsidR="0035081F">
        <w:t>.</w:t>
      </w:r>
      <w:r w:rsidR="00A11B15">
        <w:t xml:space="preserve"> Government Services will assist with this step.</w:t>
      </w:r>
      <w:r w:rsidR="0035081F">
        <w:t xml:space="preserve"> </w:t>
      </w:r>
      <w:r w:rsidR="00AE3DF3">
        <w:t xml:space="preserve">Refer to the </w:t>
      </w:r>
      <w:hyperlink r:id="rId19" w:history="1">
        <w:r w:rsidR="00AE3DF3" w:rsidRPr="008E44B5">
          <w:rPr>
            <w:rStyle w:val="Hyperlink"/>
            <w:rFonts w:asciiTheme="minorHAnsi" w:hAnsiTheme="minorHAnsi" w:cstheme="minorHAnsi"/>
            <w:szCs w:val="22"/>
          </w:rPr>
          <w:t>Appointments, Boards and Committee’s handbook</w:t>
        </w:r>
      </w:hyperlink>
      <w:r w:rsidR="00AE3DF3">
        <w:rPr>
          <w:rStyle w:val="Hyperlink"/>
          <w:rFonts w:asciiTheme="minorHAnsi" w:hAnsiTheme="minorHAnsi" w:cstheme="minorHAnsi"/>
          <w:szCs w:val="22"/>
        </w:rPr>
        <w:t xml:space="preserve"> </w:t>
      </w:r>
      <w:r w:rsidR="00AE3DF3">
        <w:t xml:space="preserve">and </w:t>
      </w:r>
      <w:hyperlink r:id="rId20" w:history="1">
        <w:r w:rsidR="00AE3DF3" w:rsidRPr="008A7914">
          <w:rPr>
            <w:rStyle w:val="Hyperlink"/>
            <w:rFonts w:asciiTheme="minorHAnsi" w:hAnsiTheme="minorHAnsi" w:cstheme="minorHAnsi"/>
            <w:szCs w:val="22"/>
          </w:rPr>
          <w:t>Cabinet handbook</w:t>
        </w:r>
      </w:hyperlink>
      <w:r w:rsidR="00AE3DF3">
        <w:t>. If the proposed appointment is subject to Standing Committee consultation, include in the Ministerial brief a letter to the relevant Standing Committee</w:t>
      </w:r>
      <w:r w:rsidR="005424D8">
        <w:t>.</w:t>
      </w:r>
      <w:r w:rsidR="00AE3DF3">
        <w:t xml:space="preserve"> </w:t>
      </w:r>
    </w:p>
    <w:p w14:paraId="02BA49B5" w14:textId="77777777" w:rsidR="00483582" w:rsidRPr="00483582" w:rsidRDefault="002D4FCB" w:rsidP="0070497F">
      <w:pPr>
        <w:pStyle w:val="Heading3"/>
        <w:numPr>
          <w:ilvl w:val="0"/>
          <w:numId w:val="2"/>
        </w:numPr>
      </w:pPr>
      <w:r w:rsidRPr="00483582">
        <w:rPr>
          <w:i/>
          <w:color w:val="5B9BD5" w:themeColor="accent5"/>
          <w:szCs w:val="26"/>
        </w:rPr>
        <w:t xml:space="preserve">SEND TO </w:t>
      </w:r>
      <w:r w:rsidR="00483582" w:rsidRPr="00483582">
        <w:rPr>
          <w:i/>
          <w:color w:val="5B9BD5" w:themeColor="accent5"/>
          <w:szCs w:val="26"/>
        </w:rPr>
        <w:t>LEGAL SERVICES AND INTEGRITY</w:t>
      </w:r>
      <w:r w:rsidR="005C7BB5" w:rsidRPr="00483582">
        <w:rPr>
          <w:i/>
          <w:color w:val="5B9BD5" w:themeColor="accent5"/>
          <w:szCs w:val="26"/>
        </w:rPr>
        <w:t xml:space="preserve"> </w:t>
      </w:r>
    </w:p>
    <w:p w14:paraId="3FAA4B44" w14:textId="18D267B1" w:rsidR="002D4FCB" w:rsidRPr="00483582" w:rsidRDefault="006A7D59" w:rsidP="00483582">
      <w:pPr>
        <w:pStyle w:val="Heading3"/>
        <w:rPr>
          <w:b w:val="0"/>
          <w:sz w:val="22"/>
          <w:szCs w:val="22"/>
        </w:rPr>
      </w:pPr>
      <w:r w:rsidRPr="00483582">
        <w:rPr>
          <w:b w:val="0"/>
          <w:sz w:val="22"/>
          <w:szCs w:val="22"/>
        </w:rPr>
        <w:t xml:space="preserve">Once cleared by the head of the policy area, send Objective folder reference </w:t>
      </w:r>
      <w:r w:rsidR="00AE3DF3">
        <w:rPr>
          <w:b w:val="0"/>
          <w:sz w:val="22"/>
          <w:szCs w:val="22"/>
        </w:rPr>
        <w:t xml:space="preserve">appointment material </w:t>
      </w:r>
      <w:r w:rsidR="00130186" w:rsidRPr="00483582">
        <w:rPr>
          <w:b w:val="0"/>
          <w:sz w:val="22"/>
          <w:szCs w:val="22"/>
        </w:rPr>
        <w:t xml:space="preserve">and all relevant </w:t>
      </w:r>
      <w:r w:rsidR="00C17B0D" w:rsidRPr="00483582">
        <w:rPr>
          <w:b w:val="0"/>
          <w:sz w:val="22"/>
          <w:szCs w:val="22"/>
        </w:rPr>
        <w:t>attachments</w:t>
      </w:r>
      <w:r w:rsidRPr="00483582">
        <w:rPr>
          <w:b w:val="0"/>
          <w:sz w:val="22"/>
          <w:szCs w:val="22"/>
        </w:rPr>
        <w:t xml:space="preserve"> to </w:t>
      </w:r>
      <w:hyperlink r:id="rId21" w:history="1">
        <w:r w:rsidR="00483582" w:rsidRPr="00483582">
          <w:rPr>
            <w:rStyle w:val="Hyperlink"/>
            <w:b w:val="0"/>
            <w:sz w:val="22"/>
            <w:szCs w:val="22"/>
          </w:rPr>
          <w:t>Legal Services and Integrity</w:t>
        </w:r>
        <w:r w:rsidR="005C7BB5" w:rsidRPr="00483582">
          <w:rPr>
            <w:rStyle w:val="Hyperlink"/>
            <w:b w:val="0"/>
            <w:sz w:val="22"/>
            <w:szCs w:val="22"/>
          </w:rPr>
          <w:t xml:space="preserve"> </w:t>
        </w:r>
      </w:hyperlink>
      <w:r w:rsidRPr="00483582">
        <w:rPr>
          <w:b w:val="0"/>
          <w:sz w:val="22"/>
          <w:szCs w:val="22"/>
        </w:rPr>
        <w:t xml:space="preserve"> for clearance</w:t>
      </w:r>
      <w:r w:rsidR="00AE3DF3">
        <w:rPr>
          <w:b w:val="0"/>
          <w:sz w:val="22"/>
          <w:szCs w:val="22"/>
        </w:rPr>
        <w:t xml:space="preserve"> prior to seeking executive approval</w:t>
      </w:r>
      <w:r w:rsidRPr="00483582">
        <w:rPr>
          <w:b w:val="0"/>
          <w:sz w:val="22"/>
          <w:szCs w:val="22"/>
        </w:rPr>
        <w:t>.</w:t>
      </w:r>
      <w:r w:rsidR="00AE3DF3">
        <w:rPr>
          <w:b w:val="0"/>
          <w:sz w:val="22"/>
          <w:szCs w:val="22"/>
        </w:rPr>
        <w:t xml:space="preserve">  </w:t>
      </w:r>
    </w:p>
    <w:p w14:paraId="0316577C" w14:textId="77777777" w:rsidR="002D4FCB" w:rsidRPr="002D4FCB" w:rsidRDefault="002D4FCB" w:rsidP="0070497F">
      <w:pPr>
        <w:pStyle w:val="Heading3"/>
        <w:numPr>
          <w:ilvl w:val="0"/>
          <w:numId w:val="2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PROGRESS FOR SIGNATURE</w:t>
      </w:r>
    </w:p>
    <w:p w14:paraId="2A55C7DA" w14:textId="612F7206" w:rsidR="00AE3DF3" w:rsidRDefault="00AE3DF3" w:rsidP="0070497F">
      <w:r>
        <w:t xml:space="preserve">For appointments made by Minister/Executive, following Cabinet endorsement and consultation with the relevant Standing Committee, prepare appointment instrument of signature, explanatory statement and letters of offer/declaration of private interests forms, and send to </w:t>
      </w:r>
      <w:hyperlink r:id="rId22" w:history="1">
        <w:r w:rsidRPr="00483582">
          <w:rPr>
            <w:rStyle w:val="Hyperlink"/>
            <w:szCs w:val="22"/>
          </w:rPr>
          <w:t xml:space="preserve">Legal Services and Integrity </w:t>
        </w:r>
      </w:hyperlink>
      <w:r w:rsidRPr="00483582">
        <w:rPr>
          <w:szCs w:val="22"/>
        </w:rPr>
        <w:t xml:space="preserve"> for clearance</w:t>
      </w:r>
      <w:r>
        <w:rPr>
          <w:b/>
          <w:szCs w:val="22"/>
        </w:rPr>
        <w:t xml:space="preserve"> </w:t>
      </w:r>
      <w:r w:rsidRPr="00AE3DF3">
        <w:rPr>
          <w:szCs w:val="22"/>
        </w:rPr>
        <w:t xml:space="preserve">prior to </w:t>
      </w:r>
      <w:r w:rsidR="005424D8">
        <w:rPr>
          <w:szCs w:val="22"/>
        </w:rPr>
        <w:t xml:space="preserve">the policy area </w:t>
      </w:r>
      <w:r w:rsidRPr="00AE3DF3">
        <w:rPr>
          <w:szCs w:val="22"/>
        </w:rPr>
        <w:t>seeking executive approval</w:t>
      </w:r>
      <w:r>
        <w:rPr>
          <w:szCs w:val="22"/>
        </w:rPr>
        <w:t xml:space="preserve"> and then</w:t>
      </w:r>
      <w:r w:rsidR="005424D8">
        <w:rPr>
          <w:szCs w:val="22"/>
        </w:rPr>
        <w:t>,</w:t>
      </w:r>
      <w:r>
        <w:rPr>
          <w:szCs w:val="22"/>
        </w:rPr>
        <w:t xml:space="preserve"> </w:t>
      </w:r>
      <w:r w:rsidR="005424D8">
        <w:rPr>
          <w:szCs w:val="22"/>
        </w:rPr>
        <w:t xml:space="preserve">via Government Services, </w:t>
      </w:r>
      <w:r>
        <w:rPr>
          <w:szCs w:val="22"/>
        </w:rPr>
        <w:t>to the Minister/Executive to execute the appointment instrument</w:t>
      </w:r>
      <w:r w:rsidRPr="00483582">
        <w:rPr>
          <w:szCs w:val="22"/>
        </w:rPr>
        <w:t>.</w:t>
      </w:r>
      <w:r>
        <w:t xml:space="preserve"> </w:t>
      </w:r>
    </w:p>
    <w:p w14:paraId="5E7DC1E6" w14:textId="77777777" w:rsidR="005424D8" w:rsidRDefault="00AE3DF3" w:rsidP="0070497F">
      <w:r>
        <w:t xml:space="preserve">For DG/DDG/other appointer instrument, once Legal Services and Integrity has cleared the </w:t>
      </w:r>
      <w:r w:rsidR="005424D8">
        <w:t>appointment material (see section 6 above)</w:t>
      </w:r>
      <w:r>
        <w:t xml:space="preserve">, </w:t>
      </w:r>
      <w:r w:rsidR="001C2785">
        <w:t>the</w:t>
      </w:r>
      <w:r w:rsidR="006427DF">
        <w:t xml:space="preserve"> </w:t>
      </w:r>
      <w:r w:rsidR="006A7D59" w:rsidRPr="0070169F">
        <w:t>policy area sends</w:t>
      </w:r>
      <w:r w:rsidR="00A80571">
        <w:t xml:space="preserve"> the</w:t>
      </w:r>
      <w:r w:rsidR="006A7D59" w:rsidRPr="0070169F">
        <w:t xml:space="preserve"> Objective folder to Government Services. </w:t>
      </w:r>
    </w:p>
    <w:p w14:paraId="0B26EA1F" w14:textId="74363435" w:rsidR="0070497F" w:rsidRDefault="006A7D59" w:rsidP="0070497F">
      <w:r w:rsidRPr="0070169F">
        <w:t>Government Services will arrange signature</w:t>
      </w:r>
      <w:r w:rsidR="008E44B5">
        <w:t xml:space="preserve"> of the relevant appointer</w:t>
      </w:r>
      <w:r w:rsidR="0035081F">
        <w:t>,</w:t>
      </w:r>
      <w:r w:rsidR="00214B7B">
        <w:t xml:space="preserve"> whether that be the DG/DDG/Minister.</w:t>
      </w:r>
    </w:p>
    <w:p w14:paraId="6EF051F8" w14:textId="77777777" w:rsidR="0070497F" w:rsidRPr="002D4FCB" w:rsidRDefault="002D4FCB" w:rsidP="006427DF">
      <w:pPr>
        <w:pStyle w:val="Heading3"/>
        <w:numPr>
          <w:ilvl w:val="0"/>
          <w:numId w:val="2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NOTIFICATION</w:t>
      </w:r>
      <w:r w:rsidR="00237FDC">
        <w:rPr>
          <w:i/>
          <w:color w:val="5B9BD5" w:themeColor="accent5"/>
          <w:szCs w:val="26"/>
        </w:rPr>
        <w:t xml:space="preserve"> AND FURTHER STEPS</w:t>
      </w:r>
    </w:p>
    <w:p w14:paraId="0ABF5105" w14:textId="77777777" w:rsidR="005424D8" w:rsidRDefault="006A7D59" w:rsidP="00C17B0D">
      <w:r w:rsidRPr="0070169F">
        <w:t xml:space="preserve">Once </w:t>
      </w:r>
      <w:r w:rsidR="0035081F">
        <w:t xml:space="preserve">the </w:t>
      </w:r>
      <w:r w:rsidRPr="0070169F">
        <w:t xml:space="preserve">brief and instrument are signed, </w:t>
      </w:r>
      <w:r w:rsidR="00FF702E">
        <w:t xml:space="preserve">and </w:t>
      </w:r>
      <w:r w:rsidR="005B0DF4">
        <w:t>following</w:t>
      </w:r>
      <w:r w:rsidR="00FF702E">
        <w:t xml:space="preserve"> any response from the Standing Committee (for Ministerial/Executive </w:t>
      </w:r>
      <w:r w:rsidR="0070497F">
        <w:t xml:space="preserve">statutory </w:t>
      </w:r>
      <w:r w:rsidR="00FF702E">
        <w:t xml:space="preserve">appointments), </w:t>
      </w:r>
      <w:r w:rsidRPr="0070169F">
        <w:t>Government Services will arrange notification of the signed instrument on the Legislation Register.</w:t>
      </w:r>
      <w:r w:rsidR="00750B3B">
        <w:t xml:space="preserve"> Government Services will also arrange for letters of appointment to be sent. </w:t>
      </w:r>
    </w:p>
    <w:p w14:paraId="14859C76" w14:textId="25B57089" w:rsidR="006A7D59" w:rsidRPr="00C17B0D" w:rsidRDefault="005424D8" w:rsidP="00C17B0D">
      <w:pPr>
        <w:rPr>
          <w:b/>
        </w:rPr>
      </w:pPr>
      <w:r>
        <w:t>Policy areas are to e</w:t>
      </w:r>
      <w:r w:rsidR="00237FDC">
        <w:t>nsure that all signed letters and declaration of private interests forms have been received, prior to the appointer exercising any functions of the appointment</w:t>
      </w:r>
      <w:r w:rsidR="00993D44">
        <w:t>.</w:t>
      </w:r>
      <w:r w:rsidR="00237FDC">
        <w:t xml:space="preserve"> </w:t>
      </w:r>
    </w:p>
    <w:p w14:paraId="64D00B7E" w14:textId="77777777" w:rsidR="002D4FCB" w:rsidRPr="0070497F" w:rsidRDefault="002D4FCB" w:rsidP="002D4FCB">
      <w:pPr>
        <w:pStyle w:val="Heading3"/>
        <w:numPr>
          <w:ilvl w:val="0"/>
          <w:numId w:val="2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 xml:space="preserve">UPDATE OF DATABASE </w:t>
      </w:r>
    </w:p>
    <w:p w14:paraId="1C55DC8F" w14:textId="48AC3522" w:rsidR="006A7D59" w:rsidRPr="00C17B0D" w:rsidRDefault="006A7D59" w:rsidP="00C17B0D">
      <w:pPr>
        <w:rPr>
          <w:b/>
        </w:rPr>
      </w:pPr>
      <w:r w:rsidRPr="0070169F">
        <w:t>Once</w:t>
      </w:r>
      <w:r w:rsidR="005424D8">
        <w:t xml:space="preserve"> the</w:t>
      </w:r>
      <w:r w:rsidRPr="0070169F">
        <w:t xml:space="preserve"> policy area has received confirmation from Government Services that instrument has commenced, send e-mail to </w:t>
      </w:r>
      <w:r w:rsidR="00483582">
        <w:t>Legal Services and Integrity</w:t>
      </w:r>
      <w:r w:rsidRPr="0070169F">
        <w:t xml:space="preserve"> requesting update of the EPSDD </w:t>
      </w:r>
      <w:r w:rsidR="00E31447">
        <w:t>appointments database</w:t>
      </w:r>
      <w:r w:rsidRPr="0070169F">
        <w:t>.</w:t>
      </w:r>
    </w:p>
    <w:p w14:paraId="24FB1020" w14:textId="77777777" w:rsidR="00566ECF" w:rsidRPr="00E31447" w:rsidRDefault="002D4FCB" w:rsidP="002D4FCB">
      <w:pPr>
        <w:pStyle w:val="Heading3"/>
        <w:numPr>
          <w:ilvl w:val="0"/>
          <w:numId w:val="2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REVIEW</w:t>
      </w:r>
    </w:p>
    <w:p w14:paraId="4EA65B9D" w14:textId="77777777" w:rsidR="00566ECF" w:rsidRPr="00C17B0D" w:rsidRDefault="00483582" w:rsidP="005424D8">
      <w:pPr>
        <w:pStyle w:val="ListBullet"/>
        <w:numPr>
          <w:ilvl w:val="0"/>
          <w:numId w:val="0"/>
        </w:numPr>
      </w:pPr>
      <w:r>
        <w:t>Legal Services and Integrity</w:t>
      </w:r>
      <w:r w:rsidR="00C17B0D">
        <w:t xml:space="preserve"> conducts a regular review of the appointments database and the validity of appointments within the EPSDD portfolio. </w:t>
      </w:r>
    </w:p>
    <w:p w14:paraId="5F157485" w14:textId="77777777" w:rsidR="006A7D59" w:rsidRPr="00372061" w:rsidRDefault="006A7D59" w:rsidP="006A7D59">
      <w:pPr>
        <w:pStyle w:val="Heading2"/>
      </w:pPr>
      <w:bookmarkStart w:id="4" w:name="_Toc489874789"/>
      <w:r>
        <w:t>Records Management</w:t>
      </w:r>
      <w:bookmarkEnd w:id="4"/>
    </w:p>
    <w:p w14:paraId="5523EE07" w14:textId="77777777" w:rsidR="006C1886" w:rsidRDefault="006C1886" w:rsidP="006C188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5" w:name="_Toc489874790"/>
      <w:r w:rsidRPr="00C93F05">
        <w:rPr>
          <w:rFonts w:asciiTheme="minorHAnsi" w:hAnsiTheme="minorHAnsi"/>
          <w:sz w:val="22"/>
          <w:szCs w:val="22"/>
        </w:rPr>
        <w:t xml:space="preserve">All records must be managed in accordance with the </w:t>
      </w:r>
      <w:r w:rsidRPr="0070169F">
        <w:rPr>
          <w:rFonts w:asciiTheme="minorHAnsi" w:hAnsiTheme="minorHAnsi"/>
          <w:i/>
          <w:sz w:val="22"/>
          <w:szCs w:val="22"/>
        </w:rPr>
        <w:t>Territory Records Act 2002</w:t>
      </w:r>
      <w:r w:rsidRPr="00C93F05">
        <w:rPr>
          <w:rFonts w:asciiTheme="minorHAnsi" w:hAnsiTheme="minorHAnsi"/>
          <w:sz w:val="22"/>
          <w:szCs w:val="22"/>
        </w:rPr>
        <w:t xml:space="preserve"> and Directorate policies and procedures. </w:t>
      </w:r>
    </w:p>
    <w:p w14:paraId="5E6F68F8" w14:textId="77777777" w:rsidR="006C1886" w:rsidRPr="00C93F05" w:rsidRDefault="006C1886" w:rsidP="006C188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7CBED73" w14:textId="54B7AE37" w:rsidR="006C1886" w:rsidRDefault="006C1886" w:rsidP="007B5AF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Policy</w:t>
      </w:r>
      <w:r w:rsidRPr="00C93F05">
        <w:rPr>
          <w:rFonts w:asciiTheme="minorHAnsi" w:hAnsiTheme="minorHAnsi"/>
          <w:sz w:val="22"/>
          <w:szCs w:val="22"/>
        </w:rPr>
        <w:t xml:space="preserve"> area must maintain an Objective folder in appropriate location with all relevant material, </w:t>
      </w:r>
      <w:r>
        <w:rPr>
          <w:rFonts w:asciiTheme="minorHAnsi" w:hAnsiTheme="minorHAnsi"/>
          <w:sz w:val="22"/>
          <w:szCs w:val="22"/>
        </w:rPr>
        <w:t>including the s</w:t>
      </w:r>
      <w:r w:rsidRPr="00C93F05">
        <w:rPr>
          <w:rFonts w:asciiTheme="minorHAnsi" w:hAnsiTheme="minorHAnsi"/>
          <w:sz w:val="22"/>
          <w:szCs w:val="22"/>
        </w:rPr>
        <w:t>igned instrument</w:t>
      </w:r>
      <w:r>
        <w:rPr>
          <w:rFonts w:asciiTheme="minorHAnsi" w:hAnsiTheme="minorHAnsi"/>
          <w:sz w:val="22"/>
          <w:szCs w:val="22"/>
        </w:rPr>
        <w:t>, a</w:t>
      </w:r>
      <w:r w:rsidRPr="00C93F05">
        <w:rPr>
          <w:rFonts w:asciiTheme="minorHAnsi" w:hAnsiTheme="minorHAnsi"/>
          <w:sz w:val="22"/>
          <w:szCs w:val="22"/>
        </w:rPr>
        <w:t>pproved brief/instruments form</w:t>
      </w:r>
      <w:r>
        <w:rPr>
          <w:rFonts w:asciiTheme="minorHAnsi" w:hAnsiTheme="minorHAnsi"/>
          <w:sz w:val="22"/>
          <w:szCs w:val="22"/>
        </w:rPr>
        <w:t>, e</w:t>
      </w:r>
      <w:r w:rsidRPr="00C93F05">
        <w:rPr>
          <w:rFonts w:asciiTheme="minorHAnsi" w:hAnsiTheme="minorHAnsi"/>
          <w:sz w:val="22"/>
          <w:szCs w:val="22"/>
        </w:rPr>
        <w:t>vidence of consultation</w:t>
      </w:r>
      <w:r>
        <w:rPr>
          <w:rFonts w:asciiTheme="minorHAnsi" w:hAnsiTheme="minorHAnsi"/>
          <w:sz w:val="22"/>
          <w:szCs w:val="22"/>
        </w:rPr>
        <w:t>, f</w:t>
      </w:r>
      <w:r w:rsidRPr="00C93F05">
        <w:rPr>
          <w:rFonts w:asciiTheme="minorHAnsi" w:hAnsiTheme="minorHAnsi"/>
          <w:sz w:val="22"/>
          <w:szCs w:val="22"/>
        </w:rPr>
        <w:t>eedback</w:t>
      </w:r>
      <w:r>
        <w:rPr>
          <w:rFonts w:asciiTheme="minorHAnsi" w:hAnsiTheme="minorHAnsi"/>
          <w:sz w:val="22"/>
          <w:szCs w:val="22"/>
        </w:rPr>
        <w:t xml:space="preserve"> received</w:t>
      </w:r>
      <w:r w:rsidRPr="00C93F05">
        <w:rPr>
          <w:rFonts w:asciiTheme="minorHAnsi" w:hAnsiTheme="minorHAnsi"/>
          <w:sz w:val="22"/>
          <w:szCs w:val="22"/>
        </w:rPr>
        <w:t xml:space="preserve"> throughout the consultation process</w:t>
      </w:r>
      <w:r>
        <w:rPr>
          <w:rFonts w:asciiTheme="minorHAnsi" w:hAnsiTheme="minorHAnsi"/>
          <w:sz w:val="22"/>
          <w:szCs w:val="22"/>
        </w:rPr>
        <w:t xml:space="preserve"> and o</w:t>
      </w:r>
      <w:r w:rsidRPr="00C93F05">
        <w:rPr>
          <w:rFonts w:asciiTheme="minorHAnsi" w:hAnsiTheme="minorHAnsi"/>
          <w:sz w:val="22"/>
          <w:szCs w:val="22"/>
        </w:rPr>
        <w:t>ther relevant material.</w:t>
      </w:r>
    </w:p>
    <w:p w14:paraId="25A347AD" w14:textId="14CE2014" w:rsidR="007B5AF6" w:rsidRDefault="007B5AF6" w:rsidP="007B5AF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2B158E3" w14:textId="4DBA23C8" w:rsidR="007B5AF6" w:rsidRDefault="007B5AF6" w:rsidP="007B5AF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B5AF6">
        <w:rPr>
          <w:rFonts w:asciiTheme="minorHAnsi" w:hAnsiTheme="minorHAnsi"/>
          <w:sz w:val="22"/>
          <w:szCs w:val="22"/>
        </w:rPr>
        <w:t xml:space="preserve">All documents for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7B5AF6">
        <w:rPr>
          <w:rFonts w:asciiTheme="minorHAnsi" w:hAnsiTheme="minorHAnsi"/>
          <w:sz w:val="22"/>
          <w:szCs w:val="22"/>
        </w:rPr>
        <w:t xml:space="preserve">Cabinet </w:t>
      </w:r>
      <w:r>
        <w:rPr>
          <w:rFonts w:asciiTheme="minorHAnsi" w:hAnsiTheme="minorHAnsi"/>
          <w:sz w:val="22"/>
          <w:szCs w:val="22"/>
        </w:rPr>
        <w:t>Appointment</w:t>
      </w:r>
      <w:r w:rsidRPr="007B5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Paper </w:t>
      </w:r>
      <w:r w:rsidRPr="007B5AF6">
        <w:rPr>
          <w:rFonts w:asciiTheme="minorHAnsi" w:hAnsiTheme="minorHAnsi"/>
          <w:sz w:val="22"/>
          <w:szCs w:val="22"/>
        </w:rPr>
        <w:t>must be filed in a Cabinet file, with access granted to staff who need to undertake work in the folder. Staff in the policy area need to clearly mark Cabinet documents as ‘Sensitive: Cabinet.’</w:t>
      </w:r>
    </w:p>
    <w:p w14:paraId="4AA0C5B9" w14:textId="77777777" w:rsidR="007B5AF6" w:rsidRPr="00C93F05" w:rsidRDefault="007B5AF6" w:rsidP="007B5AF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5613BA8" w14:textId="117F3D3C" w:rsidR="005E45B1" w:rsidRDefault="00483582" w:rsidP="005E45B1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Legal Services and Integrity</w:t>
      </w:r>
      <w:r w:rsidR="005E45B1">
        <w:rPr>
          <w:rFonts w:asciiTheme="minorHAnsi" w:hAnsiTheme="minorHAnsi"/>
          <w:sz w:val="22"/>
          <w:szCs w:val="22"/>
        </w:rPr>
        <w:t xml:space="preserve"> maintain the </w:t>
      </w:r>
      <w:proofErr w:type="spellStart"/>
      <w:r w:rsidR="005E45B1">
        <w:rPr>
          <w:rFonts w:asciiTheme="minorHAnsi" w:hAnsiTheme="minorHAnsi"/>
          <w:sz w:val="22"/>
          <w:szCs w:val="22"/>
        </w:rPr>
        <w:t>Sharepoint</w:t>
      </w:r>
      <w:proofErr w:type="spellEnd"/>
      <w:r w:rsidR="005E45B1">
        <w:rPr>
          <w:rFonts w:asciiTheme="minorHAnsi" w:hAnsiTheme="minorHAnsi"/>
          <w:sz w:val="22"/>
          <w:szCs w:val="22"/>
        </w:rPr>
        <w:t xml:space="preserve"> appointments database, and Objective folders with records of instruments reviewed and cleared. </w:t>
      </w:r>
    </w:p>
    <w:p w14:paraId="595CDF24" w14:textId="069821DB" w:rsidR="005424D8" w:rsidRPr="00C93F05" w:rsidRDefault="005424D8" w:rsidP="005E45B1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Directorate notifies appointment instruments that are not strictly notifiable instruments on the ACT Legislation Register to promote transparency and accountability.</w:t>
      </w:r>
    </w:p>
    <w:p w14:paraId="4E3A5E91" w14:textId="77777777" w:rsidR="006A7D59" w:rsidRDefault="006A7D59" w:rsidP="006A7D59">
      <w:pPr>
        <w:pStyle w:val="Heading2"/>
      </w:pPr>
      <w:r w:rsidRPr="003B4498">
        <w:t>Evaluation</w:t>
      </w:r>
      <w:bookmarkEnd w:id="5"/>
    </w:p>
    <w:p w14:paraId="304AC5E8" w14:textId="77777777" w:rsidR="006A7D59" w:rsidRPr="00D113F2" w:rsidRDefault="006A7D59" w:rsidP="006A7D59">
      <w:pPr>
        <w:rPr>
          <w:color w:val="2F5496" w:themeColor="accent1" w:themeShade="B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describing outcomes expected through implementing this standard operating procedure"/>
      </w:tblPr>
      <w:tblGrid>
        <w:gridCol w:w="2722"/>
        <w:gridCol w:w="3261"/>
        <w:gridCol w:w="2969"/>
      </w:tblGrid>
      <w:tr w:rsidR="006A7D59" w14:paraId="56EEF0EE" w14:textId="77777777" w:rsidTr="00910C7D">
        <w:trPr>
          <w:tblHeader/>
        </w:trPr>
        <w:tc>
          <w:tcPr>
            <w:tcW w:w="2722" w:type="dxa"/>
            <w:shd w:val="clear" w:color="auto" w:fill="FFFFFF"/>
          </w:tcPr>
          <w:p w14:paraId="3F9717F8" w14:textId="77777777" w:rsidR="006A7D59" w:rsidRPr="00306B78" w:rsidRDefault="006A7D59" w:rsidP="0068514C">
            <w:pPr>
              <w:pStyle w:val="Heading3"/>
            </w:pPr>
            <w:r w:rsidRPr="00306B78">
              <w:t>Outcome Measures</w:t>
            </w:r>
          </w:p>
          <w:p w14:paraId="227F51E6" w14:textId="77777777" w:rsidR="006A7D59" w:rsidRPr="00306B78" w:rsidRDefault="006A7D59" w:rsidP="0068514C">
            <w:pPr>
              <w:pStyle w:val="Heading3"/>
              <w:rPr>
                <w:b w:val="0"/>
                <w:sz w:val="20"/>
              </w:rPr>
            </w:pPr>
            <w:r w:rsidRPr="00306B78">
              <w:rPr>
                <w:rFonts w:cs="Calibri"/>
                <w:b w:val="0"/>
                <w:sz w:val="20"/>
                <w:lang w:eastAsia="en-AU"/>
              </w:rPr>
              <w:t>What will be measured to determine achievement – has the procedure purpose occurred?</w:t>
            </w:r>
          </w:p>
        </w:tc>
        <w:tc>
          <w:tcPr>
            <w:tcW w:w="3261" w:type="dxa"/>
            <w:shd w:val="clear" w:color="auto" w:fill="FFFFFF"/>
          </w:tcPr>
          <w:p w14:paraId="09759F01" w14:textId="77777777" w:rsidR="006A7D59" w:rsidRPr="00306B78" w:rsidRDefault="006A7D59" w:rsidP="0068514C">
            <w:pPr>
              <w:pStyle w:val="Heading3"/>
            </w:pPr>
            <w:r w:rsidRPr="00306B78">
              <w:t>Method</w:t>
            </w:r>
          </w:p>
          <w:p w14:paraId="0061908E" w14:textId="77777777" w:rsidR="006A7D59" w:rsidRPr="00306B78" w:rsidRDefault="006A7D59" w:rsidP="0068514C">
            <w:pPr>
              <w:pStyle w:val="Heading3"/>
              <w:rPr>
                <w:b w:val="0"/>
                <w:sz w:val="20"/>
              </w:rPr>
            </w:pPr>
            <w:r w:rsidRPr="00306B78">
              <w:rPr>
                <w:rFonts w:cs="Calibri"/>
                <w:b w:val="0"/>
                <w:sz w:val="20"/>
                <w:lang w:eastAsia="en-AU"/>
              </w:rPr>
              <w:t>How will this be done?</w:t>
            </w:r>
            <w:r w:rsidRPr="00306B78">
              <w:rPr>
                <w:rFonts w:cs="Calibri"/>
                <w:b w:val="0"/>
                <w:sz w:val="20"/>
                <w:lang w:eastAsia="en-AU"/>
              </w:rPr>
              <w:br/>
            </w:r>
          </w:p>
        </w:tc>
        <w:tc>
          <w:tcPr>
            <w:tcW w:w="2969" w:type="dxa"/>
            <w:shd w:val="clear" w:color="auto" w:fill="FFFFFF"/>
          </w:tcPr>
          <w:p w14:paraId="39F34AFD" w14:textId="77777777" w:rsidR="006A7D59" w:rsidRPr="00306B78" w:rsidRDefault="006A7D59" w:rsidP="0068514C">
            <w:pPr>
              <w:pStyle w:val="Heading3"/>
            </w:pPr>
            <w:r w:rsidRPr="00306B78">
              <w:t>Responsibility</w:t>
            </w:r>
          </w:p>
          <w:p w14:paraId="4590969D" w14:textId="77777777" w:rsidR="006A7D59" w:rsidRPr="00306B78" w:rsidRDefault="006A7D59" w:rsidP="0068514C">
            <w:pPr>
              <w:pStyle w:val="Heading3"/>
              <w:rPr>
                <w:b w:val="0"/>
                <w:sz w:val="20"/>
              </w:rPr>
            </w:pPr>
            <w:r w:rsidRPr="00306B78">
              <w:rPr>
                <w:rFonts w:cs="Calibri"/>
                <w:b w:val="0"/>
                <w:sz w:val="20"/>
                <w:lang w:eastAsia="en-AU"/>
              </w:rPr>
              <w:t>Who is responsible for evaluation?</w:t>
            </w:r>
          </w:p>
        </w:tc>
      </w:tr>
      <w:tr w:rsidR="005E45B1" w:rsidRPr="00785AFD" w14:paraId="3E6F2393" w14:textId="77777777" w:rsidTr="00910C7D">
        <w:trPr>
          <w:tblHeader/>
        </w:trPr>
        <w:tc>
          <w:tcPr>
            <w:tcW w:w="2722" w:type="dxa"/>
          </w:tcPr>
          <w:p w14:paraId="279DC9E2" w14:textId="77777777" w:rsidR="005E45B1" w:rsidRPr="00863964" w:rsidRDefault="005E45B1" w:rsidP="005E45B1">
            <w:r w:rsidRPr="00863964">
              <w:t>Accuracy of instruments</w:t>
            </w:r>
          </w:p>
        </w:tc>
        <w:tc>
          <w:tcPr>
            <w:tcW w:w="3261" w:type="dxa"/>
          </w:tcPr>
          <w:p w14:paraId="6B569A65" w14:textId="69FDB8B9" w:rsidR="005E45B1" w:rsidRPr="00863964" w:rsidRDefault="005424D8" w:rsidP="005E45B1">
            <w:r>
              <w:t>F</w:t>
            </w:r>
            <w:r w:rsidR="005E45B1" w:rsidRPr="00863964">
              <w:t xml:space="preserve">eedback from </w:t>
            </w:r>
            <w:r w:rsidR="00483582">
              <w:t>Legal Services and Integrity</w:t>
            </w:r>
            <w:r w:rsidR="005E45B1" w:rsidRPr="00863964">
              <w:t>, Government Services and PCO</w:t>
            </w:r>
          </w:p>
        </w:tc>
        <w:tc>
          <w:tcPr>
            <w:tcW w:w="2969" w:type="dxa"/>
          </w:tcPr>
          <w:p w14:paraId="746E16D7" w14:textId="5E2BD064" w:rsidR="005E45B1" w:rsidRPr="00863964" w:rsidRDefault="005E45B1" w:rsidP="005E45B1">
            <w:r w:rsidRPr="00863964">
              <w:t xml:space="preserve">Policy areas, </w:t>
            </w:r>
            <w:r w:rsidR="00483582">
              <w:t>Legal Services and Integrity</w:t>
            </w:r>
            <w:r w:rsidRPr="00863964">
              <w:t xml:space="preserve"> </w:t>
            </w:r>
            <w:r w:rsidR="005424D8">
              <w:t>and Government Services</w:t>
            </w:r>
          </w:p>
        </w:tc>
      </w:tr>
      <w:tr w:rsidR="005E45B1" w:rsidRPr="00785AFD" w14:paraId="3B936C26" w14:textId="77777777" w:rsidTr="00910C7D">
        <w:trPr>
          <w:tblHeader/>
        </w:trPr>
        <w:tc>
          <w:tcPr>
            <w:tcW w:w="2722" w:type="dxa"/>
          </w:tcPr>
          <w:p w14:paraId="48B4A6C7" w14:textId="77777777" w:rsidR="005E45B1" w:rsidRPr="00232347" w:rsidRDefault="005E45B1" w:rsidP="005E45B1">
            <w:r>
              <w:t>Timely notification of appointment instrument, prior to any decision-making of appointee</w:t>
            </w:r>
          </w:p>
        </w:tc>
        <w:tc>
          <w:tcPr>
            <w:tcW w:w="3261" w:type="dxa"/>
          </w:tcPr>
          <w:p w14:paraId="556EFB1B" w14:textId="77777777" w:rsidR="005E45B1" w:rsidRPr="00232347" w:rsidRDefault="005E45B1" w:rsidP="005E45B1">
            <w:r>
              <w:t xml:space="preserve">Early engagement with </w:t>
            </w:r>
            <w:r w:rsidR="00483582">
              <w:t>Legal Services and Integrity</w:t>
            </w:r>
            <w:r>
              <w:t>, Communications and Government Services</w:t>
            </w:r>
          </w:p>
        </w:tc>
        <w:tc>
          <w:tcPr>
            <w:tcW w:w="2969" w:type="dxa"/>
          </w:tcPr>
          <w:p w14:paraId="1DA41A58" w14:textId="6C6BC2BD" w:rsidR="005E45B1" w:rsidRPr="00232347" w:rsidRDefault="005424D8" w:rsidP="005E45B1">
            <w:r>
              <w:t xml:space="preserve">Policy areas, Legal Services and Integrity and </w:t>
            </w:r>
            <w:r w:rsidR="005E45B1">
              <w:t xml:space="preserve">Government Services, </w:t>
            </w:r>
          </w:p>
        </w:tc>
      </w:tr>
      <w:tr w:rsidR="005E45B1" w:rsidRPr="00785AFD" w14:paraId="7A9CD792" w14:textId="77777777" w:rsidTr="00910C7D">
        <w:trPr>
          <w:tblHeader/>
        </w:trPr>
        <w:tc>
          <w:tcPr>
            <w:tcW w:w="2722" w:type="dxa"/>
          </w:tcPr>
          <w:p w14:paraId="21A8C0E7" w14:textId="77777777" w:rsidR="005E45B1" w:rsidRPr="00232347" w:rsidRDefault="005E45B1" w:rsidP="005E45B1">
            <w:r>
              <w:t xml:space="preserve">Records management </w:t>
            </w:r>
          </w:p>
        </w:tc>
        <w:tc>
          <w:tcPr>
            <w:tcW w:w="3261" w:type="dxa"/>
          </w:tcPr>
          <w:p w14:paraId="61FD2240" w14:textId="77777777" w:rsidR="005E45B1" w:rsidRPr="00232347" w:rsidRDefault="005E45B1" w:rsidP="005E45B1">
            <w:r>
              <w:t>Updating appointments register within 5 days of notification</w:t>
            </w:r>
          </w:p>
        </w:tc>
        <w:tc>
          <w:tcPr>
            <w:tcW w:w="2969" w:type="dxa"/>
          </w:tcPr>
          <w:p w14:paraId="4717E444" w14:textId="77777777" w:rsidR="005E45B1" w:rsidRPr="00232347" w:rsidRDefault="00483582" w:rsidP="005E45B1">
            <w:r>
              <w:t>Legal Services and Integrity</w:t>
            </w:r>
            <w:r w:rsidR="005E45B1">
              <w:t>, Policy areas</w:t>
            </w:r>
          </w:p>
        </w:tc>
      </w:tr>
    </w:tbl>
    <w:p w14:paraId="6E06F831" w14:textId="77777777" w:rsidR="006A7D59" w:rsidRDefault="006A7D59" w:rsidP="006A7D59">
      <w:pPr>
        <w:pStyle w:val="Heading2"/>
      </w:pPr>
      <w:bookmarkStart w:id="6" w:name="_Toc489874792"/>
      <w:r w:rsidRPr="003B4498">
        <w:t xml:space="preserve">Related </w:t>
      </w:r>
      <w:bookmarkEnd w:id="6"/>
      <w:r>
        <w:t>Documents</w:t>
      </w:r>
    </w:p>
    <w:p w14:paraId="1C6C6F42" w14:textId="77777777" w:rsidR="006A7D59" w:rsidRDefault="002F47DE" w:rsidP="006A7D59">
      <w:pPr>
        <w:pStyle w:val="ListParagraph"/>
        <w:numPr>
          <w:ilvl w:val="0"/>
          <w:numId w:val="8"/>
        </w:numPr>
        <w:rPr>
          <w:color w:val="2F5496" w:themeColor="accent1" w:themeShade="BF"/>
          <w:lang w:eastAsia="en-AU"/>
        </w:rPr>
      </w:pPr>
      <w:hyperlink r:id="rId23" w:history="1">
        <w:r w:rsidR="006A7D59" w:rsidRPr="00364C31">
          <w:rPr>
            <w:rStyle w:val="Hyperlink"/>
            <w:lang w:eastAsia="en-AU"/>
          </w:rPr>
          <w:t>PCO website</w:t>
        </w:r>
      </w:hyperlink>
    </w:p>
    <w:p w14:paraId="06F4E968" w14:textId="0E5E1AA7" w:rsidR="005E45B1" w:rsidRPr="005424D8" w:rsidRDefault="002F47DE" w:rsidP="005E45B1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24" w:history="1">
        <w:r w:rsidR="005E45B1" w:rsidRPr="002827B0">
          <w:rPr>
            <w:rStyle w:val="Hyperlink"/>
            <w:rFonts w:asciiTheme="minorHAnsi" w:hAnsiTheme="minorHAnsi" w:cstheme="minorHAnsi"/>
            <w:szCs w:val="22"/>
          </w:rPr>
          <w:t xml:space="preserve">NI </w:t>
        </w:r>
        <w:r w:rsidR="002827B0" w:rsidRPr="002827B0">
          <w:rPr>
            <w:rStyle w:val="Hyperlink"/>
            <w:rFonts w:asciiTheme="minorHAnsi" w:hAnsiTheme="minorHAnsi" w:cstheme="minorHAnsi"/>
            <w:szCs w:val="22"/>
          </w:rPr>
          <w:t xml:space="preserve">and DI </w:t>
        </w:r>
        <w:r w:rsidR="005E45B1" w:rsidRPr="002827B0">
          <w:rPr>
            <w:rStyle w:val="Hyperlink"/>
            <w:rFonts w:asciiTheme="minorHAnsi" w:hAnsiTheme="minorHAnsi" w:cstheme="minorHAnsi"/>
            <w:szCs w:val="22"/>
          </w:rPr>
          <w:t>template</w:t>
        </w:r>
        <w:r w:rsidR="002827B0" w:rsidRPr="002827B0">
          <w:rPr>
            <w:rStyle w:val="Hyperlink"/>
            <w:rFonts w:asciiTheme="minorHAnsi" w:hAnsiTheme="minorHAnsi" w:cstheme="minorHAnsi"/>
            <w:szCs w:val="22"/>
          </w:rPr>
          <w:t>s</w:t>
        </w:r>
      </w:hyperlink>
    </w:p>
    <w:p w14:paraId="4B313E33" w14:textId="27BAA976" w:rsidR="005424D8" w:rsidRPr="00E41B4D" w:rsidRDefault="005424D8" w:rsidP="005E45B1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szCs w:val="22"/>
        </w:rPr>
        <w:t>Notifiable Instrument and Disallowable Instrument Standard Operating Procedure</w:t>
      </w:r>
    </w:p>
    <w:p w14:paraId="7CAAF79F" w14:textId="77777777" w:rsidR="006A7D59" w:rsidRDefault="002F47DE" w:rsidP="006A7D59">
      <w:pPr>
        <w:pStyle w:val="ListParagraph"/>
        <w:numPr>
          <w:ilvl w:val="0"/>
          <w:numId w:val="8"/>
        </w:numPr>
        <w:rPr>
          <w:color w:val="2F5496" w:themeColor="accent1" w:themeShade="BF"/>
          <w:lang w:eastAsia="en-AU"/>
        </w:rPr>
      </w:pPr>
      <w:hyperlink r:id="rId25" w:anchor="layout=compact-view" w:history="1">
        <w:r w:rsidR="006A7D59" w:rsidRPr="00364C31">
          <w:rPr>
            <w:rStyle w:val="Hyperlink"/>
            <w:lang w:eastAsia="en-AU"/>
          </w:rPr>
          <w:t xml:space="preserve">Objective Ministerial templates </w:t>
        </w:r>
      </w:hyperlink>
      <w:r w:rsidR="006A7D59">
        <w:rPr>
          <w:color w:val="2F5496" w:themeColor="accent1" w:themeShade="BF"/>
          <w:lang w:eastAsia="en-AU"/>
        </w:rPr>
        <w:t xml:space="preserve"> </w:t>
      </w:r>
    </w:p>
    <w:p w14:paraId="45EA7B7C" w14:textId="77777777" w:rsidR="006A7D59" w:rsidRDefault="002F47DE" w:rsidP="006A7D59">
      <w:pPr>
        <w:pStyle w:val="ListParagraph"/>
        <w:numPr>
          <w:ilvl w:val="0"/>
          <w:numId w:val="8"/>
        </w:numPr>
        <w:rPr>
          <w:color w:val="2F5496" w:themeColor="accent1" w:themeShade="BF"/>
          <w:lang w:eastAsia="en-AU"/>
        </w:rPr>
      </w:pPr>
      <w:hyperlink r:id="rId26" w:history="1">
        <w:r w:rsidR="006A7D59" w:rsidRPr="008B3E11">
          <w:rPr>
            <w:rStyle w:val="Hyperlink"/>
            <w:lang w:eastAsia="en-AU"/>
          </w:rPr>
          <w:t>ACT Legislation Register</w:t>
        </w:r>
      </w:hyperlink>
    </w:p>
    <w:p w14:paraId="4F900D1A" w14:textId="77777777" w:rsidR="006A7D59" w:rsidRPr="00E41B4D" w:rsidRDefault="002F47DE" w:rsidP="006A7D59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27" w:history="1">
        <w:r w:rsidR="006A7D59">
          <w:rPr>
            <w:rStyle w:val="Hyperlink"/>
            <w:rFonts w:asciiTheme="minorHAnsi" w:hAnsiTheme="minorHAnsi" w:cstheme="minorHAnsi"/>
            <w:szCs w:val="22"/>
          </w:rPr>
          <w:t>Governance Principles Appointments, Boards and Committee’s handbook</w:t>
        </w:r>
      </w:hyperlink>
      <w:r w:rsidR="006A7D59" w:rsidRPr="00F9503E">
        <w:rPr>
          <w:rStyle w:val="Hyperlink"/>
          <w:rFonts w:asciiTheme="minorHAnsi" w:hAnsiTheme="minorHAnsi" w:cstheme="minorHAnsi"/>
          <w:szCs w:val="22"/>
        </w:rPr>
        <w:t xml:space="preserve"> </w:t>
      </w:r>
      <w:r w:rsidR="006A7D59" w:rsidRPr="00A80571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(Ministerial</w:t>
      </w:r>
      <w:r w:rsidR="00A80571" w:rsidRPr="00A80571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/Executive </w:t>
      </w:r>
      <w:r w:rsidR="006A7D59" w:rsidRPr="00A80571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appointments)</w:t>
      </w:r>
    </w:p>
    <w:p w14:paraId="64537C1B" w14:textId="77777777" w:rsidR="00E41B4D" w:rsidRPr="005E45B1" w:rsidRDefault="002F47DE" w:rsidP="006A7D59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28" w:history="1">
        <w:r w:rsidR="00E41B4D" w:rsidRPr="002827B0">
          <w:rPr>
            <w:rStyle w:val="Hyperlink"/>
            <w:rFonts w:asciiTheme="minorHAnsi" w:hAnsiTheme="minorHAnsi" w:cstheme="minorHAnsi"/>
            <w:szCs w:val="22"/>
          </w:rPr>
          <w:t>Cabinet handbook</w:t>
        </w:r>
      </w:hyperlink>
      <w:r w:rsidR="00A80571">
        <w:rPr>
          <w:rStyle w:val="Hyperlink"/>
          <w:rFonts w:asciiTheme="minorHAnsi" w:hAnsiTheme="minorHAnsi" w:cstheme="minorHAnsi"/>
          <w:szCs w:val="22"/>
        </w:rPr>
        <w:t xml:space="preserve"> </w:t>
      </w:r>
      <w:r w:rsidR="00A80571" w:rsidRPr="00A80571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(Ministerial/Executive appointments)</w:t>
      </w:r>
    </w:p>
    <w:bookmarkStart w:id="7" w:name="_Toc489874793"/>
    <w:p w14:paraId="71CCF398" w14:textId="77777777" w:rsidR="002827B0" w:rsidRPr="005B038C" w:rsidRDefault="002827B0" w:rsidP="002827B0">
      <w:pPr>
        <w:pStyle w:val="ListParagraph"/>
        <w:numPr>
          <w:ilvl w:val="0"/>
          <w:numId w:val="8"/>
        </w:numPr>
        <w:rPr>
          <w:rStyle w:val="Hyperlink"/>
          <w:color w:val="2F5496" w:themeColor="accent1" w:themeShade="BF"/>
          <w:lang w:eastAsia="en-AU"/>
        </w:rPr>
      </w:pPr>
      <w:r>
        <w:rPr>
          <w:rStyle w:val="Hyperlink"/>
          <w:lang w:eastAsia="en-AU"/>
        </w:rPr>
        <w:fldChar w:fldCharType="begin"/>
      </w:r>
      <w:r>
        <w:rPr>
          <w:rStyle w:val="Hyperlink"/>
          <w:lang w:eastAsia="en-AU"/>
        </w:rPr>
        <w:instrText xml:space="preserve"> HYPERLINK "mailto:EPSDLegalServices@act.gov.au" </w:instrText>
      </w:r>
      <w:r>
        <w:rPr>
          <w:rStyle w:val="Hyperlink"/>
          <w:lang w:eastAsia="en-AU"/>
        </w:rPr>
        <w:fldChar w:fldCharType="separate"/>
      </w:r>
      <w:r w:rsidRPr="002827B0">
        <w:rPr>
          <w:rStyle w:val="Hyperlink"/>
          <w:lang w:eastAsia="en-AU"/>
        </w:rPr>
        <w:t xml:space="preserve">EPSDD </w:t>
      </w:r>
      <w:r w:rsidR="00483582">
        <w:rPr>
          <w:rStyle w:val="Hyperlink"/>
          <w:lang w:eastAsia="en-AU"/>
        </w:rPr>
        <w:t>Legal Services and Integrity</w:t>
      </w:r>
      <w:r w:rsidRPr="002827B0">
        <w:rPr>
          <w:rStyle w:val="Hyperlink"/>
          <w:lang w:eastAsia="en-AU"/>
        </w:rPr>
        <w:t xml:space="preserve"> and Integrity e-mail address</w:t>
      </w:r>
      <w:r>
        <w:rPr>
          <w:rStyle w:val="Hyperlink"/>
          <w:lang w:eastAsia="en-AU"/>
        </w:rPr>
        <w:fldChar w:fldCharType="end"/>
      </w:r>
    </w:p>
    <w:bookmarkEnd w:id="7"/>
    <w:p w14:paraId="5EA9FB9D" w14:textId="11D15D7C" w:rsidR="006A7D59" w:rsidRPr="00372061" w:rsidRDefault="005424D8" w:rsidP="006A7D59">
      <w:pPr>
        <w:pStyle w:val="Heading2"/>
      </w:pPr>
      <w:r>
        <w:t>Definitions</w:t>
      </w:r>
    </w:p>
    <w:p w14:paraId="3A26975E" w14:textId="242952B2" w:rsidR="006A7D59" w:rsidRPr="002827B0" w:rsidRDefault="006A7D59" w:rsidP="006A7D59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bookmarkStart w:id="8" w:name="_Toc489874795"/>
      <w:r w:rsidRPr="002827B0">
        <w:rPr>
          <w:rFonts w:ascii="Calibri" w:eastAsia="Calibri" w:hAnsi="Calibri" w:cs="Times New Roman"/>
          <w:i/>
          <w:color w:val="auto"/>
          <w:lang w:eastAsia="en-US"/>
        </w:rPr>
        <w:t>“</w:t>
      </w:r>
      <w:r w:rsidR="004A4A62" w:rsidRPr="002827B0">
        <w:rPr>
          <w:rFonts w:ascii="Calibri" w:eastAsia="Calibri" w:hAnsi="Calibri" w:cs="Times New Roman"/>
          <w:i/>
          <w:color w:val="auto"/>
          <w:lang w:eastAsia="en-US"/>
        </w:rPr>
        <w:t>A</w:t>
      </w:r>
      <w:r w:rsidRPr="002827B0">
        <w:rPr>
          <w:rFonts w:ascii="Calibri" w:eastAsia="Calibri" w:hAnsi="Calibri" w:cs="Times New Roman"/>
          <w:i/>
          <w:color w:val="auto"/>
          <w:lang w:eastAsia="en-US"/>
        </w:rPr>
        <w:t>ppointee”</w:t>
      </w:r>
      <w:r w:rsidRPr="002827B0">
        <w:rPr>
          <w:rFonts w:ascii="Calibri" w:eastAsia="Calibri" w:hAnsi="Calibri" w:cs="Times New Roman"/>
          <w:color w:val="auto"/>
          <w:lang w:eastAsia="en-US"/>
        </w:rPr>
        <w:t xml:space="preserve"> means the person who is appointed to a relevant statutory position</w:t>
      </w:r>
      <w:r w:rsidR="00F9570D" w:rsidRPr="002827B0">
        <w:rPr>
          <w:rFonts w:ascii="Calibri" w:eastAsia="Calibri" w:hAnsi="Calibri" w:cs="Times New Roman"/>
          <w:color w:val="auto"/>
          <w:lang w:eastAsia="en-US"/>
        </w:rPr>
        <w:t>.</w:t>
      </w:r>
    </w:p>
    <w:p w14:paraId="7589C91C" w14:textId="77777777" w:rsidR="006A7D59" w:rsidRPr="002827B0" w:rsidRDefault="006A7D59" w:rsidP="006A7D59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2827B0">
        <w:rPr>
          <w:rFonts w:ascii="Calibri" w:eastAsia="Calibri" w:hAnsi="Calibri" w:cs="Times New Roman"/>
          <w:i/>
          <w:color w:val="auto"/>
          <w:lang w:eastAsia="en-US"/>
        </w:rPr>
        <w:lastRenderedPageBreak/>
        <w:t>“</w:t>
      </w:r>
      <w:r w:rsidR="004A4A62" w:rsidRPr="002827B0">
        <w:rPr>
          <w:rFonts w:ascii="Calibri" w:eastAsia="Calibri" w:hAnsi="Calibri" w:cs="Times New Roman"/>
          <w:i/>
          <w:color w:val="auto"/>
          <w:lang w:eastAsia="en-US"/>
        </w:rPr>
        <w:t>A</w:t>
      </w:r>
      <w:r w:rsidRPr="002827B0">
        <w:rPr>
          <w:rFonts w:ascii="Calibri" w:eastAsia="Calibri" w:hAnsi="Calibri" w:cs="Times New Roman"/>
          <w:i/>
          <w:color w:val="auto"/>
          <w:lang w:eastAsia="en-US"/>
        </w:rPr>
        <w:t>ppointer”</w:t>
      </w:r>
      <w:r w:rsidRPr="002827B0">
        <w:rPr>
          <w:rFonts w:ascii="Calibri" w:eastAsia="Calibri" w:hAnsi="Calibri" w:cs="Times New Roman"/>
          <w:color w:val="auto"/>
          <w:lang w:eastAsia="en-US"/>
        </w:rPr>
        <w:t xml:space="preserve"> means the person making </w:t>
      </w:r>
      <w:r w:rsidR="00F9570D" w:rsidRPr="002827B0">
        <w:rPr>
          <w:rFonts w:ascii="Calibri" w:eastAsia="Calibri" w:hAnsi="Calibri" w:cs="Times New Roman"/>
          <w:color w:val="auto"/>
          <w:lang w:eastAsia="en-US"/>
        </w:rPr>
        <w:t>(</w:t>
      </w:r>
      <w:proofErr w:type="spellStart"/>
      <w:r w:rsidR="00F9570D" w:rsidRPr="002827B0">
        <w:rPr>
          <w:rFonts w:ascii="Calibri" w:eastAsia="Calibri" w:hAnsi="Calibri" w:cs="Times New Roman"/>
          <w:color w:val="auto"/>
          <w:lang w:eastAsia="en-US"/>
        </w:rPr>
        <w:t>ie</w:t>
      </w:r>
      <w:proofErr w:type="spellEnd"/>
      <w:r w:rsidR="00F9570D" w:rsidRPr="002827B0">
        <w:rPr>
          <w:rFonts w:ascii="Calibri" w:eastAsia="Calibri" w:hAnsi="Calibri" w:cs="Times New Roman"/>
          <w:color w:val="auto"/>
          <w:lang w:eastAsia="en-US"/>
        </w:rPr>
        <w:t xml:space="preserve"> signing) </w:t>
      </w:r>
      <w:r w:rsidRPr="002827B0">
        <w:rPr>
          <w:rFonts w:ascii="Calibri" w:eastAsia="Calibri" w:hAnsi="Calibri" w:cs="Times New Roman"/>
          <w:color w:val="auto"/>
          <w:lang w:eastAsia="en-US"/>
        </w:rPr>
        <w:t>the instrument of appointment</w:t>
      </w:r>
      <w:r w:rsidR="00F9570D" w:rsidRPr="002827B0">
        <w:rPr>
          <w:rFonts w:ascii="Calibri" w:eastAsia="Calibri" w:hAnsi="Calibri" w:cs="Times New Roman"/>
          <w:color w:val="auto"/>
          <w:lang w:eastAsia="en-US"/>
        </w:rPr>
        <w:t>.</w:t>
      </w:r>
    </w:p>
    <w:p w14:paraId="41F540D1" w14:textId="77777777" w:rsidR="004A4A62" w:rsidRPr="002827B0" w:rsidRDefault="004A4A62" w:rsidP="004A4A6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2827B0">
        <w:rPr>
          <w:rFonts w:ascii="Calibri" w:eastAsia="Calibri" w:hAnsi="Calibri" w:cs="Times New Roman"/>
          <w:i/>
          <w:color w:val="auto"/>
          <w:lang w:eastAsia="en-US"/>
        </w:rPr>
        <w:t>“DG”</w:t>
      </w:r>
      <w:r w:rsidRPr="002827B0">
        <w:rPr>
          <w:rFonts w:ascii="Calibri" w:eastAsia="Calibri" w:hAnsi="Calibri" w:cs="Times New Roman"/>
          <w:color w:val="auto"/>
          <w:lang w:eastAsia="en-US"/>
        </w:rPr>
        <w:t xml:space="preserve"> means the Director-General of the Directorate</w:t>
      </w:r>
    </w:p>
    <w:p w14:paraId="78C45F53" w14:textId="77777777" w:rsidR="004A4A62" w:rsidRPr="002827B0" w:rsidRDefault="004A4A62" w:rsidP="004A4A6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2827B0">
        <w:rPr>
          <w:rFonts w:ascii="Calibri" w:eastAsia="Calibri" w:hAnsi="Calibri" w:cs="Times New Roman"/>
          <w:i/>
          <w:color w:val="auto"/>
          <w:lang w:eastAsia="en-US"/>
        </w:rPr>
        <w:t>“DDG”</w:t>
      </w:r>
      <w:r w:rsidRPr="002827B0">
        <w:rPr>
          <w:rFonts w:ascii="Calibri" w:eastAsia="Calibri" w:hAnsi="Calibri" w:cs="Times New Roman"/>
          <w:color w:val="auto"/>
          <w:lang w:eastAsia="en-US"/>
        </w:rPr>
        <w:t xml:space="preserve"> means the Deputy Director-General of the Directorate</w:t>
      </w:r>
    </w:p>
    <w:p w14:paraId="2089E558" w14:textId="27FC1FD6" w:rsidR="004A4A62" w:rsidRPr="002827B0" w:rsidRDefault="004A4A62" w:rsidP="004A4A6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2827B0">
        <w:rPr>
          <w:rFonts w:ascii="Calibri" w:eastAsia="Calibri" w:hAnsi="Calibri" w:cs="Times New Roman"/>
          <w:i/>
          <w:color w:val="auto"/>
          <w:lang w:eastAsia="en-US"/>
        </w:rPr>
        <w:t>“DI”</w:t>
      </w:r>
      <w:r w:rsidRPr="002827B0">
        <w:rPr>
          <w:rFonts w:ascii="Calibri" w:eastAsia="Calibri" w:hAnsi="Calibri" w:cs="Times New Roman"/>
          <w:color w:val="auto"/>
          <w:lang w:eastAsia="en-US"/>
        </w:rPr>
        <w:t xml:space="preserve"> means a disallowable instrument which must be tabled in the Legislative Assembly. Refer to </w:t>
      </w:r>
      <w:r w:rsidR="00483582">
        <w:rPr>
          <w:rFonts w:ascii="Calibri" w:eastAsia="Calibri" w:hAnsi="Calibri" w:cs="Times New Roman"/>
          <w:color w:val="auto"/>
          <w:lang w:eastAsia="en-US"/>
        </w:rPr>
        <w:t>Legal Services and Integrity</w:t>
      </w:r>
      <w:r w:rsidRPr="002827B0">
        <w:rPr>
          <w:rFonts w:ascii="Calibri" w:eastAsia="Calibri" w:hAnsi="Calibri" w:cs="Times New Roman"/>
          <w:color w:val="auto"/>
          <w:lang w:eastAsia="en-US"/>
        </w:rPr>
        <w:t xml:space="preserve"> standard operating procedure on disallowable and notifiable instruments. </w:t>
      </w:r>
    </w:p>
    <w:p w14:paraId="5ED167BE" w14:textId="61DEA1DF" w:rsidR="003F74F7" w:rsidRDefault="003F74F7" w:rsidP="004A4A62">
      <w:pPr>
        <w:pStyle w:val="Normal1"/>
        <w:spacing w:line="360" w:lineRule="auto"/>
        <w:contextualSpacing/>
        <w:rPr>
          <w:rFonts w:ascii="Calibri" w:eastAsia="Calibri" w:hAnsi="Calibri" w:cs="Times New Roman"/>
          <w:i/>
          <w:color w:val="auto"/>
          <w:lang w:eastAsia="en-US"/>
        </w:rPr>
      </w:pPr>
      <w:r>
        <w:rPr>
          <w:rFonts w:ascii="Calibri" w:eastAsia="Calibri" w:hAnsi="Calibri" w:cs="Times New Roman"/>
          <w:i/>
          <w:color w:val="auto"/>
          <w:lang w:eastAsia="en-US"/>
        </w:rPr>
        <w:t>“EBM” means Executive Branch Manager</w:t>
      </w:r>
    </w:p>
    <w:p w14:paraId="34F4C898" w14:textId="55941612" w:rsidR="003F74F7" w:rsidRDefault="003F74F7" w:rsidP="004A4A62">
      <w:pPr>
        <w:pStyle w:val="Normal1"/>
        <w:spacing w:line="360" w:lineRule="auto"/>
        <w:contextualSpacing/>
        <w:rPr>
          <w:rFonts w:ascii="Calibri" w:eastAsia="Calibri" w:hAnsi="Calibri" w:cs="Times New Roman"/>
          <w:i/>
          <w:color w:val="auto"/>
          <w:lang w:eastAsia="en-US"/>
        </w:rPr>
      </w:pPr>
      <w:r>
        <w:rPr>
          <w:rFonts w:ascii="Calibri" w:eastAsia="Calibri" w:hAnsi="Calibri" w:cs="Times New Roman"/>
          <w:i/>
          <w:color w:val="auto"/>
          <w:lang w:eastAsia="en-US"/>
        </w:rPr>
        <w:t>“EGM” means Executive Group Manager</w:t>
      </w:r>
    </w:p>
    <w:p w14:paraId="653033EA" w14:textId="6C99AEBD" w:rsidR="004A4A62" w:rsidRPr="002827B0" w:rsidRDefault="004A4A62" w:rsidP="004A4A6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2827B0">
        <w:rPr>
          <w:rFonts w:ascii="Calibri" w:eastAsia="Calibri" w:hAnsi="Calibri" w:cs="Times New Roman"/>
          <w:i/>
          <w:color w:val="auto"/>
          <w:lang w:eastAsia="en-US"/>
        </w:rPr>
        <w:t>“NI”</w:t>
      </w:r>
      <w:r w:rsidRPr="002827B0">
        <w:rPr>
          <w:rFonts w:ascii="Calibri" w:eastAsia="Calibri" w:hAnsi="Calibri" w:cs="Times New Roman"/>
          <w:color w:val="auto"/>
          <w:lang w:eastAsia="en-US"/>
        </w:rPr>
        <w:t xml:space="preserve"> means a notifiable instrument which must be notified on the Legislation Register. Refer to </w:t>
      </w:r>
      <w:r w:rsidR="00483582">
        <w:rPr>
          <w:rFonts w:ascii="Calibri" w:eastAsia="Calibri" w:hAnsi="Calibri" w:cs="Times New Roman"/>
          <w:color w:val="auto"/>
          <w:lang w:eastAsia="en-US"/>
        </w:rPr>
        <w:t>Legal Services and Integrity</w:t>
      </w:r>
      <w:r w:rsidRPr="002827B0">
        <w:rPr>
          <w:rFonts w:ascii="Calibri" w:eastAsia="Calibri" w:hAnsi="Calibri" w:cs="Times New Roman"/>
          <w:color w:val="auto"/>
          <w:lang w:eastAsia="en-US"/>
        </w:rPr>
        <w:t xml:space="preserve"> standard operating procedure on disallowable and notifiable instruments.</w:t>
      </w:r>
    </w:p>
    <w:p w14:paraId="054474C6" w14:textId="77777777" w:rsidR="006A7D59" w:rsidRDefault="006A7D59" w:rsidP="006A7D59">
      <w:pPr>
        <w:pStyle w:val="Heading2"/>
      </w:pPr>
      <w:r w:rsidRPr="003B4498">
        <w:t>Version history</w:t>
      </w:r>
      <w:bookmarkEnd w:id="8"/>
    </w:p>
    <w:p w14:paraId="2E407E76" w14:textId="77777777" w:rsidR="006A7D59" w:rsidRPr="007F1084" w:rsidRDefault="006A7D59" w:rsidP="006A7D59">
      <w:r w:rsidRPr="003D1E3C">
        <w:t>The following</w:t>
      </w:r>
      <w:r w:rsidRPr="007F1084">
        <w:t xml:space="preserve"> table details the published date and amendment details for this document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0"/>
        <w:gridCol w:w="3028"/>
        <w:gridCol w:w="3024"/>
      </w:tblGrid>
      <w:tr w:rsidR="006A7D59" w14:paraId="0369C833" w14:textId="77777777" w:rsidTr="005424D8">
        <w:trPr>
          <w:tblHeader/>
        </w:trPr>
        <w:tc>
          <w:tcPr>
            <w:tcW w:w="2900" w:type="dxa"/>
            <w:shd w:val="clear" w:color="auto" w:fill="FFFFFF"/>
          </w:tcPr>
          <w:p w14:paraId="7B4046FC" w14:textId="77777777" w:rsidR="006A7D59" w:rsidRPr="000B367F" w:rsidRDefault="006A7D59" w:rsidP="0068514C">
            <w:pPr>
              <w:pStyle w:val="Heading3"/>
            </w:pPr>
            <w:r w:rsidRPr="000B367F">
              <w:t>Version</w:t>
            </w:r>
          </w:p>
        </w:tc>
        <w:tc>
          <w:tcPr>
            <w:tcW w:w="3028" w:type="dxa"/>
            <w:shd w:val="clear" w:color="auto" w:fill="FFFFFF"/>
          </w:tcPr>
          <w:p w14:paraId="6BF034BE" w14:textId="77777777" w:rsidR="006A7D59" w:rsidRPr="000B367F" w:rsidRDefault="006A7D59" w:rsidP="0068514C">
            <w:pPr>
              <w:pStyle w:val="Heading3"/>
            </w:pPr>
            <w:r w:rsidRPr="000B367F">
              <w:t>Date</w:t>
            </w:r>
          </w:p>
        </w:tc>
        <w:tc>
          <w:tcPr>
            <w:tcW w:w="3024" w:type="dxa"/>
            <w:shd w:val="clear" w:color="auto" w:fill="FFFFFF"/>
          </w:tcPr>
          <w:p w14:paraId="79245F52" w14:textId="77777777" w:rsidR="006A7D59" w:rsidRPr="000B367F" w:rsidRDefault="006A7D59" w:rsidP="0068514C">
            <w:pPr>
              <w:pStyle w:val="Heading3"/>
            </w:pPr>
            <w:r w:rsidRPr="000B367F">
              <w:t>Amendment details</w:t>
            </w:r>
          </w:p>
        </w:tc>
      </w:tr>
      <w:tr w:rsidR="006A7D59" w14:paraId="450554BA" w14:textId="77777777" w:rsidTr="005424D8">
        <w:tc>
          <w:tcPr>
            <w:tcW w:w="2900" w:type="dxa"/>
          </w:tcPr>
          <w:p w14:paraId="0C32064D" w14:textId="77777777" w:rsidR="006A7D59" w:rsidRPr="005108C6" w:rsidRDefault="006A7D59" w:rsidP="0068514C">
            <w:r w:rsidRPr="005108C6">
              <w:t>1.0</w:t>
            </w:r>
          </w:p>
        </w:tc>
        <w:tc>
          <w:tcPr>
            <w:tcW w:w="3028" w:type="dxa"/>
          </w:tcPr>
          <w:p w14:paraId="76286D2B" w14:textId="7D19F843" w:rsidR="006A7D59" w:rsidRPr="005108C6" w:rsidRDefault="001D7043" w:rsidP="0068514C">
            <w:r>
              <w:t>24</w:t>
            </w:r>
            <w:r w:rsidR="006A7D59" w:rsidRPr="002534D5">
              <w:t>/</w:t>
            </w:r>
            <w:r w:rsidR="002827B0">
              <w:t>07</w:t>
            </w:r>
            <w:r w:rsidR="006A7D59" w:rsidRPr="005108C6">
              <w:t>/201</w:t>
            </w:r>
            <w:r w:rsidR="006A7D59">
              <w:t>9</w:t>
            </w:r>
          </w:p>
        </w:tc>
        <w:tc>
          <w:tcPr>
            <w:tcW w:w="3024" w:type="dxa"/>
          </w:tcPr>
          <w:p w14:paraId="07F1097A" w14:textId="5B8CD5E2" w:rsidR="006A7D59" w:rsidRPr="005108C6" w:rsidRDefault="006A7D59" w:rsidP="0068514C">
            <w:r w:rsidRPr="007F1084">
              <w:t xml:space="preserve">First publication of this </w:t>
            </w:r>
            <w:r w:rsidR="00BD348B">
              <w:t>SOP</w:t>
            </w:r>
          </w:p>
        </w:tc>
      </w:tr>
    </w:tbl>
    <w:p w14:paraId="78904161" w14:textId="77777777" w:rsidR="004964B2" w:rsidRDefault="002F47DE"/>
    <w:sectPr w:rsidR="004964B2" w:rsidSect="00F00D7D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18" w:right="1418" w:bottom="1440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7871" w14:textId="77777777" w:rsidR="002F47DE" w:rsidRDefault="002F47DE" w:rsidP="00F9570D">
      <w:pPr>
        <w:spacing w:before="0" w:after="0"/>
      </w:pPr>
      <w:r>
        <w:separator/>
      </w:r>
    </w:p>
  </w:endnote>
  <w:endnote w:type="continuationSeparator" w:id="0">
    <w:p w14:paraId="6CCA146C" w14:textId="77777777" w:rsidR="002F47DE" w:rsidRDefault="002F47DE" w:rsidP="00F957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365"/>
      <w:gridCol w:w="1612"/>
      <w:gridCol w:w="966"/>
      <w:gridCol w:w="1325"/>
      <w:gridCol w:w="2553"/>
      <w:gridCol w:w="1249"/>
    </w:tblGrid>
    <w:tr w:rsidR="00830920" w:rsidRPr="002827B0" w14:paraId="79BEC371" w14:textId="77777777" w:rsidTr="008A0DEC">
      <w:tc>
        <w:tcPr>
          <w:tcW w:w="1365" w:type="dxa"/>
        </w:tcPr>
        <w:p w14:paraId="47A74219" w14:textId="77777777" w:rsidR="00830920" w:rsidRPr="002827B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2827B0">
            <w:rPr>
              <w:rFonts w:cs="Arial"/>
              <w:b/>
              <w:bCs/>
              <w:i/>
              <w:sz w:val="20"/>
            </w:rPr>
            <w:t>Reference Number</w:t>
          </w:r>
        </w:p>
      </w:tc>
      <w:tc>
        <w:tcPr>
          <w:tcW w:w="1612" w:type="dxa"/>
        </w:tcPr>
        <w:p w14:paraId="769F995D" w14:textId="77777777" w:rsidR="00830920" w:rsidRPr="002827B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2827B0">
            <w:rPr>
              <w:rFonts w:cs="Arial"/>
              <w:b/>
              <w:bCs/>
              <w:i/>
              <w:sz w:val="20"/>
            </w:rPr>
            <w:t>Approved by</w:t>
          </w:r>
        </w:p>
      </w:tc>
      <w:tc>
        <w:tcPr>
          <w:tcW w:w="966" w:type="dxa"/>
        </w:tcPr>
        <w:p w14:paraId="63CB6E48" w14:textId="77777777" w:rsidR="00830920" w:rsidRPr="002827B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2827B0">
            <w:rPr>
              <w:rFonts w:cs="Arial"/>
              <w:b/>
              <w:bCs/>
              <w:i/>
              <w:sz w:val="20"/>
            </w:rPr>
            <w:t>Issued</w:t>
          </w:r>
        </w:p>
      </w:tc>
      <w:tc>
        <w:tcPr>
          <w:tcW w:w="1325" w:type="dxa"/>
        </w:tcPr>
        <w:p w14:paraId="0E52B6C5" w14:textId="77777777" w:rsidR="00830920" w:rsidRPr="002827B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2827B0">
            <w:rPr>
              <w:rFonts w:cs="Arial"/>
              <w:b/>
              <w:bCs/>
              <w:i/>
              <w:sz w:val="20"/>
            </w:rPr>
            <w:t>Review Date</w:t>
          </w:r>
        </w:p>
      </w:tc>
      <w:tc>
        <w:tcPr>
          <w:tcW w:w="2553" w:type="dxa"/>
        </w:tcPr>
        <w:p w14:paraId="163A6BA6" w14:textId="77777777" w:rsidR="00830920" w:rsidRPr="002827B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2827B0">
            <w:rPr>
              <w:rFonts w:cs="Arial"/>
              <w:b/>
              <w:bCs/>
              <w:i/>
              <w:sz w:val="20"/>
            </w:rPr>
            <w:t>Area Responsible</w:t>
          </w:r>
        </w:p>
      </w:tc>
      <w:tc>
        <w:tcPr>
          <w:tcW w:w="1249" w:type="dxa"/>
        </w:tcPr>
        <w:p w14:paraId="5A408F1A" w14:textId="77777777" w:rsidR="00830920" w:rsidRPr="002827B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2827B0">
            <w:rPr>
              <w:rFonts w:cs="Arial"/>
              <w:b/>
              <w:bCs/>
              <w:i/>
              <w:sz w:val="20"/>
            </w:rPr>
            <w:t>Page</w:t>
          </w:r>
        </w:p>
      </w:tc>
    </w:tr>
    <w:tr w:rsidR="00830920" w14:paraId="728546B0" w14:textId="77777777" w:rsidTr="008A0DEC">
      <w:tc>
        <w:tcPr>
          <w:tcW w:w="1365" w:type="dxa"/>
        </w:tcPr>
        <w:p w14:paraId="265CAE94" w14:textId="31E971F7" w:rsidR="00830920" w:rsidRPr="002827B0" w:rsidRDefault="006F06A7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19/2286</w:t>
          </w:r>
          <w:r w:rsidR="0038187A">
            <w:rPr>
              <w:rFonts w:cs="Arial"/>
              <w:b/>
              <w:sz w:val="20"/>
              <w:lang w:val="en-US"/>
            </w:rPr>
            <w:t>7</w:t>
          </w:r>
        </w:p>
      </w:tc>
      <w:tc>
        <w:tcPr>
          <w:tcW w:w="1612" w:type="dxa"/>
        </w:tcPr>
        <w:p w14:paraId="4CA2263A" w14:textId="50074095" w:rsidR="00830920" w:rsidRPr="002827B0" w:rsidRDefault="004D05F1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Chief Operating Officer</w:t>
          </w:r>
        </w:p>
      </w:tc>
      <w:tc>
        <w:tcPr>
          <w:tcW w:w="966" w:type="dxa"/>
        </w:tcPr>
        <w:p w14:paraId="03A15D56" w14:textId="77777777" w:rsidR="00830920" w:rsidRPr="002827B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 w:rsidRPr="002827B0">
            <w:rPr>
              <w:rFonts w:cs="Arial"/>
              <w:b/>
              <w:bCs/>
              <w:sz w:val="20"/>
            </w:rPr>
            <w:t>July 2019</w:t>
          </w:r>
        </w:p>
      </w:tc>
      <w:tc>
        <w:tcPr>
          <w:tcW w:w="1325" w:type="dxa"/>
        </w:tcPr>
        <w:p w14:paraId="60864CAF" w14:textId="77777777" w:rsidR="00830920" w:rsidRPr="002827B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 w:rsidRPr="002827B0">
            <w:rPr>
              <w:rFonts w:cs="Arial"/>
              <w:b/>
              <w:bCs/>
              <w:sz w:val="20"/>
            </w:rPr>
            <w:t>July 2021</w:t>
          </w:r>
        </w:p>
      </w:tc>
      <w:tc>
        <w:tcPr>
          <w:tcW w:w="2553" w:type="dxa"/>
        </w:tcPr>
        <w:p w14:paraId="1B38C85E" w14:textId="77777777" w:rsidR="00830920" w:rsidRPr="002827B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 w:rsidRPr="002827B0">
            <w:rPr>
              <w:rFonts w:cs="Arial"/>
              <w:b/>
              <w:sz w:val="20"/>
              <w:lang w:val="en-US"/>
            </w:rPr>
            <w:t>Governance, Compliance &amp; Legal</w:t>
          </w:r>
        </w:p>
      </w:tc>
      <w:tc>
        <w:tcPr>
          <w:tcW w:w="1249" w:type="dxa"/>
        </w:tcPr>
        <w:p w14:paraId="6C6B7C1D" w14:textId="77777777" w:rsidR="00830920" w:rsidRPr="00D942D7" w:rsidRDefault="00830920" w:rsidP="00830920">
          <w:pPr>
            <w:pStyle w:val="Footer"/>
            <w:spacing w:line="192" w:lineRule="auto"/>
            <w:rPr>
              <w:sz w:val="20"/>
            </w:rPr>
          </w:pPr>
          <w:r w:rsidRPr="002827B0">
            <w:rPr>
              <w:rStyle w:val="PageNumber"/>
              <w:sz w:val="20"/>
            </w:rPr>
            <w:fldChar w:fldCharType="begin"/>
          </w:r>
          <w:r w:rsidRPr="002827B0">
            <w:rPr>
              <w:rStyle w:val="PageNumber"/>
              <w:sz w:val="20"/>
            </w:rPr>
            <w:instrText xml:space="preserve"> PAGE </w:instrText>
          </w:r>
          <w:r w:rsidRPr="002827B0">
            <w:rPr>
              <w:rStyle w:val="PageNumber"/>
              <w:sz w:val="20"/>
            </w:rPr>
            <w:fldChar w:fldCharType="separate"/>
          </w:r>
          <w:r w:rsidR="00C174D9">
            <w:rPr>
              <w:rStyle w:val="PageNumber"/>
              <w:noProof/>
              <w:sz w:val="20"/>
            </w:rPr>
            <w:t>4</w:t>
          </w:r>
          <w:r w:rsidRPr="002827B0">
            <w:rPr>
              <w:rStyle w:val="PageNumber"/>
              <w:sz w:val="20"/>
            </w:rPr>
            <w:fldChar w:fldCharType="end"/>
          </w:r>
          <w:r w:rsidRPr="002827B0">
            <w:rPr>
              <w:rStyle w:val="PageNumber"/>
              <w:sz w:val="20"/>
            </w:rPr>
            <w:t xml:space="preserve"> of </w:t>
          </w:r>
          <w:r w:rsidRPr="002827B0">
            <w:rPr>
              <w:rStyle w:val="PageNumber"/>
              <w:sz w:val="20"/>
            </w:rPr>
            <w:fldChar w:fldCharType="begin"/>
          </w:r>
          <w:r w:rsidRPr="002827B0">
            <w:rPr>
              <w:rStyle w:val="PageNumber"/>
              <w:sz w:val="20"/>
            </w:rPr>
            <w:instrText xml:space="preserve"> NUMPAGES </w:instrText>
          </w:r>
          <w:r w:rsidRPr="002827B0">
            <w:rPr>
              <w:rStyle w:val="PageNumber"/>
              <w:sz w:val="20"/>
            </w:rPr>
            <w:fldChar w:fldCharType="separate"/>
          </w:r>
          <w:r w:rsidR="00C174D9">
            <w:rPr>
              <w:rStyle w:val="PageNumber"/>
              <w:noProof/>
              <w:sz w:val="20"/>
            </w:rPr>
            <w:t>5</w:t>
          </w:r>
          <w:r w:rsidRPr="002827B0">
            <w:rPr>
              <w:rStyle w:val="PageNumber"/>
              <w:sz w:val="20"/>
            </w:rPr>
            <w:fldChar w:fldCharType="end"/>
          </w:r>
        </w:p>
      </w:tc>
    </w:tr>
  </w:tbl>
  <w:p w14:paraId="7DF5CC57" w14:textId="77777777" w:rsidR="00830920" w:rsidRDefault="00830920" w:rsidP="00830920">
    <w:pPr>
      <w:pStyle w:val="Footer"/>
    </w:pPr>
  </w:p>
  <w:p w14:paraId="59AD0FED" w14:textId="77777777" w:rsidR="00830920" w:rsidRDefault="00830920" w:rsidP="00830920">
    <w:pPr>
      <w:pStyle w:val="Footer"/>
    </w:pPr>
  </w:p>
  <w:p w14:paraId="5F48EDB5" w14:textId="77777777" w:rsidR="00F9503E" w:rsidRPr="00830920" w:rsidRDefault="002F47DE" w:rsidP="0083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365"/>
      <w:gridCol w:w="1612"/>
      <w:gridCol w:w="966"/>
      <w:gridCol w:w="1325"/>
      <w:gridCol w:w="2553"/>
      <w:gridCol w:w="1249"/>
    </w:tblGrid>
    <w:tr w:rsidR="00830920" w:rsidRPr="00AE7C5C" w14:paraId="3C1C127E" w14:textId="77777777" w:rsidTr="008A0DEC">
      <w:tc>
        <w:tcPr>
          <w:tcW w:w="1365" w:type="dxa"/>
        </w:tcPr>
        <w:p w14:paraId="0F858ADE" w14:textId="77777777" w:rsidR="00830920" w:rsidRPr="00D942D7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 xml:space="preserve">Reference </w:t>
          </w:r>
          <w:r w:rsidRPr="00D942D7">
            <w:rPr>
              <w:rFonts w:cs="Arial"/>
              <w:b/>
              <w:bCs/>
              <w:i/>
              <w:sz w:val="20"/>
            </w:rPr>
            <w:t>Number</w:t>
          </w:r>
        </w:p>
      </w:tc>
      <w:tc>
        <w:tcPr>
          <w:tcW w:w="1612" w:type="dxa"/>
        </w:tcPr>
        <w:p w14:paraId="112D2D75" w14:textId="77777777" w:rsidR="00830920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Approved by</w:t>
          </w:r>
        </w:p>
      </w:tc>
      <w:tc>
        <w:tcPr>
          <w:tcW w:w="966" w:type="dxa"/>
        </w:tcPr>
        <w:p w14:paraId="0D35ADEF" w14:textId="77777777" w:rsidR="00830920" w:rsidRPr="00D942D7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Issued</w:t>
          </w:r>
        </w:p>
      </w:tc>
      <w:tc>
        <w:tcPr>
          <w:tcW w:w="1325" w:type="dxa"/>
        </w:tcPr>
        <w:p w14:paraId="5F5E67CA" w14:textId="77777777" w:rsidR="00830920" w:rsidRPr="00D942D7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Review Date</w:t>
          </w:r>
        </w:p>
      </w:tc>
      <w:tc>
        <w:tcPr>
          <w:tcW w:w="2553" w:type="dxa"/>
        </w:tcPr>
        <w:p w14:paraId="43C0928A" w14:textId="77777777" w:rsidR="00830920" w:rsidRPr="00D942D7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Area Responsible</w:t>
          </w:r>
        </w:p>
      </w:tc>
      <w:tc>
        <w:tcPr>
          <w:tcW w:w="1249" w:type="dxa"/>
        </w:tcPr>
        <w:p w14:paraId="4DC29006" w14:textId="77777777" w:rsidR="00830920" w:rsidRPr="00D942D7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Page</w:t>
          </w:r>
        </w:p>
      </w:tc>
    </w:tr>
    <w:tr w:rsidR="00830920" w14:paraId="6DB45347" w14:textId="77777777" w:rsidTr="008A0DEC">
      <w:tc>
        <w:tcPr>
          <w:tcW w:w="1365" w:type="dxa"/>
        </w:tcPr>
        <w:p w14:paraId="1BFE3D39" w14:textId="0B13DA61" w:rsidR="00830920" w:rsidRPr="0042712C" w:rsidRDefault="006F06A7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19/2286</w:t>
          </w:r>
          <w:r w:rsidR="0038187A">
            <w:rPr>
              <w:rFonts w:cs="Arial"/>
              <w:b/>
              <w:sz w:val="20"/>
              <w:lang w:val="en-US"/>
            </w:rPr>
            <w:t>7</w:t>
          </w:r>
        </w:p>
      </w:tc>
      <w:tc>
        <w:tcPr>
          <w:tcW w:w="1612" w:type="dxa"/>
        </w:tcPr>
        <w:p w14:paraId="037F7832" w14:textId="6978DC91" w:rsidR="00830920" w:rsidRPr="0042712C" w:rsidRDefault="004D05F1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Chief Operating Officer</w:t>
          </w:r>
        </w:p>
      </w:tc>
      <w:tc>
        <w:tcPr>
          <w:tcW w:w="966" w:type="dxa"/>
        </w:tcPr>
        <w:p w14:paraId="4C32CA63" w14:textId="77777777" w:rsidR="00830920" w:rsidRPr="00D942D7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 2019</w:t>
          </w:r>
        </w:p>
      </w:tc>
      <w:tc>
        <w:tcPr>
          <w:tcW w:w="1325" w:type="dxa"/>
        </w:tcPr>
        <w:p w14:paraId="538B28F5" w14:textId="77777777" w:rsidR="00830920" w:rsidRPr="00D942D7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 2021</w:t>
          </w:r>
        </w:p>
      </w:tc>
      <w:tc>
        <w:tcPr>
          <w:tcW w:w="2553" w:type="dxa"/>
        </w:tcPr>
        <w:p w14:paraId="1CAF158C" w14:textId="77777777" w:rsidR="00830920" w:rsidRPr="00D942D7" w:rsidRDefault="00830920" w:rsidP="00830920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Governance, Compliance &amp; Legal</w:t>
          </w:r>
        </w:p>
      </w:tc>
      <w:tc>
        <w:tcPr>
          <w:tcW w:w="1249" w:type="dxa"/>
        </w:tcPr>
        <w:p w14:paraId="03DA6DD6" w14:textId="77777777" w:rsidR="00830920" w:rsidRPr="00D942D7" w:rsidRDefault="00830920" w:rsidP="00830920">
          <w:pPr>
            <w:pStyle w:val="Footer"/>
            <w:spacing w:line="192" w:lineRule="auto"/>
            <w:rPr>
              <w:sz w:val="20"/>
            </w:rPr>
          </w:pPr>
          <w:r w:rsidRPr="00D942D7">
            <w:rPr>
              <w:rStyle w:val="PageNumber"/>
              <w:sz w:val="20"/>
            </w:rPr>
            <w:fldChar w:fldCharType="begin"/>
          </w:r>
          <w:r w:rsidRPr="00D942D7">
            <w:rPr>
              <w:rStyle w:val="PageNumber"/>
              <w:sz w:val="20"/>
            </w:rPr>
            <w:instrText xml:space="preserve"> PAGE </w:instrText>
          </w:r>
          <w:r w:rsidRPr="00D942D7">
            <w:rPr>
              <w:rStyle w:val="PageNumber"/>
              <w:sz w:val="20"/>
            </w:rPr>
            <w:fldChar w:fldCharType="separate"/>
          </w:r>
          <w:r w:rsidR="00C174D9">
            <w:rPr>
              <w:rStyle w:val="PageNumber"/>
              <w:noProof/>
              <w:sz w:val="20"/>
            </w:rPr>
            <w:t>1</w:t>
          </w:r>
          <w:r w:rsidRPr="00D942D7">
            <w:rPr>
              <w:rStyle w:val="PageNumber"/>
              <w:sz w:val="20"/>
            </w:rPr>
            <w:fldChar w:fldCharType="end"/>
          </w:r>
          <w:r w:rsidRPr="00D942D7">
            <w:rPr>
              <w:rStyle w:val="PageNumber"/>
              <w:sz w:val="20"/>
            </w:rPr>
            <w:t xml:space="preserve"> of </w:t>
          </w:r>
          <w:r w:rsidRPr="00D942D7">
            <w:rPr>
              <w:rStyle w:val="PageNumber"/>
              <w:sz w:val="20"/>
            </w:rPr>
            <w:fldChar w:fldCharType="begin"/>
          </w:r>
          <w:r w:rsidRPr="00D942D7">
            <w:rPr>
              <w:rStyle w:val="PageNumber"/>
              <w:sz w:val="20"/>
            </w:rPr>
            <w:instrText xml:space="preserve"> NUMPAGES </w:instrText>
          </w:r>
          <w:r w:rsidRPr="00D942D7">
            <w:rPr>
              <w:rStyle w:val="PageNumber"/>
              <w:sz w:val="20"/>
            </w:rPr>
            <w:fldChar w:fldCharType="separate"/>
          </w:r>
          <w:r w:rsidR="00C174D9">
            <w:rPr>
              <w:rStyle w:val="PageNumber"/>
              <w:noProof/>
              <w:sz w:val="20"/>
            </w:rPr>
            <w:t>5</w:t>
          </w:r>
          <w:r w:rsidRPr="00D942D7">
            <w:rPr>
              <w:rStyle w:val="PageNumber"/>
              <w:sz w:val="20"/>
            </w:rPr>
            <w:fldChar w:fldCharType="end"/>
          </w:r>
        </w:p>
      </w:tc>
    </w:tr>
  </w:tbl>
  <w:p w14:paraId="39EBAEE6" w14:textId="77777777" w:rsidR="00830920" w:rsidRDefault="00830920" w:rsidP="00830920">
    <w:pPr>
      <w:pStyle w:val="Footer"/>
    </w:pPr>
  </w:p>
  <w:p w14:paraId="21A17ACF" w14:textId="77777777" w:rsidR="00830920" w:rsidRDefault="00830920" w:rsidP="00830920">
    <w:pPr>
      <w:pStyle w:val="Footer"/>
    </w:pPr>
  </w:p>
  <w:p w14:paraId="4AF11517" w14:textId="77777777" w:rsidR="00830920" w:rsidRDefault="00830920" w:rsidP="00830920">
    <w:pPr>
      <w:pStyle w:val="Footer"/>
    </w:pPr>
  </w:p>
  <w:p w14:paraId="1DC2EE8C" w14:textId="77777777" w:rsidR="00F9570D" w:rsidRPr="00830920" w:rsidRDefault="00F9570D" w:rsidP="0083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D999" w14:textId="77777777" w:rsidR="002F47DE" w:rsidRDefault="002F47DE" w:rsidP="00F9570D">
      <w:pPr>
        <w:spacing w:before="0" w:after="0"/>
      </w:pPr>
      <w:r>
        <w:separator/>
      </w:r>
    </w:p>
  </w:footnote>
  <w:footnote w:type="continuationSeparator" w:id="0">
    <w:p w14:paraId="7C2E8DCF" w14:textId="77777777" w:rsidR="002F47DE" w:rsidRDefault="002F47DE" w:rsidP="00F957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A204" w14:textId="77777777" w:rsidR="00F9503E" w:rsidRDefault="002F47DE" w:rsidP="00F9503E">
    <w:pPr>
      <w:pStyle w:val="Header"/>
      <w:tabs>
        <w:tab w:val="clear" w:pos="4153"/>
        <w:tab w:val="clear" w:pos="8306"/>
        <w:tab w:val="left" w:pos="651"/>
      </w:tabs>
      <w:ind w:right="-144"/>
      <w:jc w:val="center"/>
    </w:pPr>
    <w:sdt>
      <w:sdtPr>
        <w:rPr>
          <w:noProof/>
          <w:lang w:eastAsia="en-AU"/>
        </w:rPr>
        <w:id w:val="-822576341"/>
        <w:docPartObj>
          <w:docPartGallery w:val="Watermarks"/>
          <w:docPartUnique/>
        </w:docPartObj>
      </w:sdtPr>
      <w:sdtEndPr/>
      <w:sdtContent>
        <w:r w:rsidR="00882056"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0288" behindDoc="1" locked="0" layoutInCell="0" allowOverlap="1" wp14:anchorId="47DE913A" wp14:editId="4076372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A391F" w14:textId="77777777" w:rsidR="00F9503E" w:rsidRDefault="00882056" w:rsidP="00F950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DE913A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4MLQpokCAAD9BAAADgAAAAAAAAAAAAAAAAAuAgAAZHJzL2Uyb0RvYy54bWxQSwECLQAUAAYACAAA&#10;ACEAOy2kaNsAAAAFAQAADwAAAAAAAAAAAAAAAADjBAAAZHJzL2Rvd25yZXYueG1sUEsFBgAAAAAE&#10;AAQA8wAAAOs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543A391F" w14:textId="77777777" w:rsidR="00F9503E" w:rsidRDefault="00882056" w:rsidP="00F9503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882056" w:rsidRPr="000E1974">
      <w:rPr>
        <w:noProof/>
        <w:lang w:eastAsia="en-AU"/>
      </w:rPr>
      <w:t>Appointments</w:t>
    </w:r>
    <w:r w:rsidR="00882056" w:rsidRPr="00C303A5">
      <w:rPr>
        <w:noProof/>
        <w:lang w:eastAsia="en-AU"/>
      </w:rPr>
      <w:t xml:space="preserve"> Standard Operating</w:t>
    </w:r>
    <w:r w:rsidR="00882056">
      <w:rPr>
        <w:noProof/>
        <w:color w:val="2F5496" w:themeColor="accent1" w:themeShade="BF"/>
        <w:lang w:eastAsia="en-AU"/>
      </w:rPr>
      <w:t xml:space="preserve"> </w:t>
    </w:r>
    <w:r w:rsidR="00882056">
      <w:rPr>
        <w:noProof/>
        <w:lang w:eastAsia="en-AU"/>
      </w:rPr>
      <w:t>Procedure</w:t>
    </w:r>
  </w:p>
  <w:p w14:paraId="382A6040" w14:textId="77777777" w:rsidR="00F9503E" w:rsidRDefault="002F4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BE4D" w14:textId="77777777" w:rsidR="00112A7A" w:rsidRDefault="00882056" w:rsidP="00112A7A">
    <w:pPr>
      <w:pStyle w:val="Header"/>
      <w:tabs>
        <w:tab w:val="clear" w:pos="4153"/>
        <w:tab w:val="clear" w:pos="8306"/>
        <w:tab w:val="left" w:pos="651"/>
      </w:tabs>
      <w:ind w:right="-144"/>
      <w:jc w:val="cen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22EF89D" wp14:editId="2F0454E9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219325" cy="1047750"/>
          <wp:effectExtent l="0" t="0" r="9525" b="0"/>
          <wp:wrapSquare wrapText="bothSides"/>
          <wp:docPr id="10" name="Picture 10" descr="Environment, Planning and Sustainable Development Directorate Logo" title="Environment, Planning and Sustainable Development Direct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 Government Environment, Planning and Sustainable Develop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A7A">
      <w:rPr>
        <w:noProof/>
        <w:lang w:eastAsia="en-AU"/>
      </w:rPr>
      <w:tab/>
    </w:r>
  </w:p>
  <w:p w14:paraId="73EF3F29" w14:textId="5CF3FD06" w:rsidR="00112A7A" w:rsidRDefault="00112A7A" w:rsidP="00112A7A">
    <w:pPr>
      <w:pStyle w:val="Header"/>
      <w:tabs>
        <w:tab w:val="clear" w:pos="4153"/>
        <w:tab w:val="clear" w:pos="8306"/>
        <w:tab w:val="left" w:pos="651"/>
      </w:tabs>
      <w:ind w:right="-144"/>
      <w:jc w:val="center"/>
    </w:pPr>
    <w:r w:rsidRPr="000E1974">
      <w:rPr>
        <w:noProof/>
        <w:lang w:eastAsia="en-AU"/>
      </w:rPr>
      <w:t>Appointments</w:t>
    </w:r>
    <w:r w:rsidRPr="00C303A5">
      <w:rPr>
        <w:noProof/>
        <w:lang w:eastAsia="en-AU"/>
      </w:rPr>
      <w:t xml:space="preserve"> Standard Operating</w:t>
    </w:r>
    <w:r>
      <w:rPr>
        <w:noProof/>
        <w:color w:val="2F5496" w:themeColor="accent1" w:themeShade="BF"/>
        <w:lang w:eastAsia="en-AU"/>
      </w:rPr>
      <w:t xml:space="preserve"> </w:t>
    </w:r>
    <w:r>
      <w:rPr>
        <w:noProof/>
        <w:lang w:eastAsia="en-AU"/>
      </w:rPr>
      <w:t>Procedure</w:t>
    </w:r>
  </w:p>
  <w:p w14:paraId="64F09F53" w14:textId="0C9CBC44" w:rsidR="00F9503E" w:rsidRDefault="002F47DE" w:rsidP="00112A7A">
    <w:pPr>
      <w:pStyle w:val="Header"/>
      <w:tabs>
        <w:tab w:val="clear" w:pos="4153"/>
        <w:tab w:val="clear" w:pos="8306"/>
        <w:tab w:val="center" w:pos="2690"/>
      </w:tabs>
      <w:rPr>
        <w:noProof/>
        <w:lang w:eastAsia="en-AU"/>
      </w:rPr>
    </w:pPr>
  </w:p>
  <w:p w14:paraId="7E1D1E25" w14:textId="77777777" w:rsidR="00F9503E" w:rsidRDefault="002F47DE" w:rsidP="00F9503E">
    <w:pPr>
      <w:pStyle w:val="Header"/>
    </w:pPr>
  </w:p>
  <w:p w14:paraId="3E1A8055" w14:textId="77777777" w:rsidR="00F00D7D" w:rsidRDefault="002F47DE" w:rsidP="00F00D7D">
    <w:pPr>
      <w:pStyle w:val="Header"/>
      <w:tabs>
        <w:tab w:val="clear" w:pos="4153"/>
        <w:tab w:val="clear" w:pos="8306"/>
        <w:tab w:val="left" w:pos="651"/>
      </w:tabs>
      <w:ind w:right="-14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72B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1701F"/>
    <w:multiLevelType w:val="hybridMultilevel"/>
    <w:tmpl w:val="60BEC98A"/>
    <w:lvl w:ilvl="0" w:tplc="0C090001">
      <w:start w:val="1"/>
      <w:numFmt w:val="bullet"/>
      <w:lvlText w:val=""/>
      <w:lvlJc w:val="left"/>
      <w:pPr>
        <w:ind w:left="103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7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5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2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9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6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53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6108" w:hanging="360"/>
      </w:pPr>
      <w:rPr>
        <w:rFonts w:ascii="Wingdings" w:hAnsi="Wingdings" w:hint="default"/>
      </w:rPr>
    </w:lvl>
  </w:abstractNum>
  <w:abstractNum w:abstractNumId="2" w15:restartNumberingAfterBreak="0">
    <w:nsid w:val="026D4D85"/>
    <w:multiLevelType w:val="hybridMultilevel"/>
    <w:tmpl w:val="6A328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F2D"/>
    <w:multiLevelType w:val="multilevel"/>
    <w:tmpl w:val="D92CED0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662F70"/>
    <w:multiLevelType w:val="hybridMultilevel"/>
    <w:tmpl w:val="3912F2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1234"/>
    <w:multiLevelType w:val="hybridMultilevel"/>
    <w:tmpl w:val="18443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E0F8E"/>
    <w:multiLevelType w:val="multilevel"/>
    <w:tmpl w:val="B7A01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B9BD5" w:themeColor="accent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/>
        <w:color w:val="5B9BD5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1EA60235"/>
    <w:multiLevelType w:val="hybridMultilevel"/>
    <w:tmpl w:val="93DA7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554A"/>
    <w:multiLevelType w:val="hybridMultilevel"/>
    <w:tmpl w:val="8B88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2D04"/>
    <w:multiLevelType w:val="hybridMultilevel"/>
    <w:tmpl w:val="28A493D8"/>
    <w:lvl w:ilvl="0" w:tplc="4CFE0040">
      <w:start w:val="1"/>
      <w:numFmt w:val="lowerLetter"/>
      <w:lvlText w:val="%1)"/>
      <w:lvlJc w:val="left"/>
      <w:pPr>
        <w:ind w:left="1495" w:hanging="360"/>
      </w:pPr>
      <w:rPr>
        <w:rFonts w:ascii="Calibri" w:eastAsia="Times New Roman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4CC6D19"/>
    <w:multiLevelType w:val="multilevel"/>
    <w:tmpl w:val="B7A01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B9BD5" w:themeColor="accent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/>
        <w:color w:val="5B9BD5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 w15:restartNumberingAfterBreak="0">
    <w:nsid w:val="26485D06"/>
    <w:multiLevelType w:val="hybridMultilevel"/>
    <w:tmpl w:val="620E268C"/>
    <w:lvl w:ilvl="0" w:tplc="997800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471C4"/>
    <w:multiLevelType w:val="multilevel"/>
    <w:tmpl w:val="56EAD264"/>
    <w:lvl w:ilvl="0">
      <w:start w:val="2"/>
      <w:numFmt w:val="decimal"/>
      <w:lvlText w:val="%1.0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28BB5129"/>
    <w:multiLevelType w:val="hybridMultilevel"/>
    <w:tmpl w:val="329E536A"/>
    <w:lvl w:ilvl="0" w:tplc="7F9C29C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AD01B27"/>
    <w:multiLevelType w:val="hybridMultilevel"/>
    <w:tmpl w:val="B4E0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970DF"/>
    <w:multiLevelType w:val="hybridMultilevel"/>
    <w:tmpl w:val="B066E1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F44FF"/>
    <w:multiLevelType w:val="hybridMultilevel"/>
    <w:tmpl w:val="C672A3C4"/>
    <w:lvl w:ilvl="0" w:tplc="061A8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7F5F"/>
    <w:multiLevelType w:val="hybridMultilevel"/>
    <w:tmpl w:val="D6E22D72"/>
    <w:lvl w:ilvl="0" w:tplc="CA4C51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25A04"/>
    <w:multiLevelType w:val="multilevel"/>
    <w:tmpl w:val="E188C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/>
        <w:color w:val="5B9BD5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3A521956"/>
    <w:multiLevelType w:val="hybridMultilevel"/>
    <w:tmpl w:val="64FCA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F0D0D"/>
    <w:multiLevelType w:val="hybridMultilevel"/>
    <w:tmpl w:val="82265AC6"/>
    <w:lvl w:ilvl="0" w:tplc="514E7762">
      <w:start w:val="14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350758"/>
    <w:multiLevelType w:val="hybridMultilevel"/>
    <w:tmpl w:val="21AAC7E2"/>
    <w:lvl w:ilvl="0" w:tplc="4FB43E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0FE0A8D"/>
    <w:multiLevelType w:val="hybridMultilevel"/>
    <w:tmpl w:val="C9E8823C"/>
    <w:lvl w:ilvl="0" w:tplc="0C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 w15:restartNumberingAfterBreak="0">
    <w:nsid w:val="4286615D"/>
    <w:multiLevelType w:val="hybridMultilevel"/>
    <w:tmpl w:val="146CD9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E1AAF"/>
    <w:multiLevelType w:val="hybridMultilevel"/>
    <w:tmpl w:val="8910C2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35A"/>
    <w:multiLevelType w:val="hybridMultilevel"/>
    <w:tmpl w:val="5BF2C7B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CB0B1E"/>
    <w:multiLevelType w:val="hybridMultilevel"/>
    <w:tmpl w:val="5DBC8626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C1A38E9"/>
    <w:multiLevelType w:val="hybridMultilevel"/>
    <w:tmpl w:val="2D7086E8"/>
    <w:lvl w:ilvl="0" w:tplc="D2988F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0C705F"/>
    <w:multiLevelType w:val="hybridMultilevel"/>
    <w:tmpl w:val="D1403D1C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11137B2"/>
    <w:multiLevelType w:val="multilevel"/>
    <w:tmpl w:val="E188C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/>
        <w:color w:val="5B9BD5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0" w15:restartNumberingAfterBreak="0">
    <w:nsid w:val="52A838AB"/>
    <w:multiLevelType w:val="hybridMultilevel"/>
    <w:tmpl w:val="4B661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C363E"/>
    <w:multiLevelType w:val="multilevel"/>
    <w:tmpl w:val="711CCE26"/>
    <w:lvl w:ilvl="0">
      <w:start w:val="2"/>
      <w:numFmt w:val="decimal"/>
      <w:lvlText w:val="%1.0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1" w:hanging="1800"/>
      </w:pPr>
      <w:rPr>
        <w:rFonts w:hint="default"/>
      </w:rPr>
    </w:lvl>
  </w:abstractNum>
  <w:abstractNum w:abstractNumId="32" w15:restartNumberingAfterBreak="0">
    <w:nsid w:val="573F53C2"/>
    <w:multiLevelType w:val="multilevel"/>
    <w:tmpl w:val="E3B06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696AD0"/>
    <w:multiLevelType w:val="multilevel"/>
    <w:tmpl w:val="B7A01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B9BD5" w:themeColor="accent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/>
        <w:color w:val="5B9BD5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4" w15:restartNumberingAfterBreak="0">
    <w:nsid w:val="5CD52BCA"/>
    <w:multiLevelType w:val="multilevel"/>
    <w:tmpl w:val="E188C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/>
        <w:color w:val="5B9BD5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5" w15:restartNumberingAfterBreak="0">
    <w:nsid w:val="5D1716FE"/>
    <w:multiLevelType w:val="hybridMultilevel"/>
    <w:tmpl w:val="6DF6F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E19D6"/>
    <w:multiLevelType w:val="hybridMultilevel"/>
    <w:tmpl w:val="D9120836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1D900F9"/>
    <w:multiLevelType w:val="multilevel"/>
    <w:tmpl w:val="E188C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/>
        <w:color w:val="5B9BD5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8" w15:restartNumberingAfterBreak="0">
    <w:nsid w:val="62B6232C"/>
    <w:multiLevelType w:val="hybridMultilevel"/>
    <w:tmpl w:val="19BE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8093D"/>
    <w:multiLevelType w:val="hybridMultilevel"/>
    <w:tmpl w:val="1BD2AFB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A064102"/>
    <w:multiLevelType w:val="hybridMultilevel"/>
    <w:tmpl w:val="5B40FBBC"/>
    <w:lvl w:ilvl="0" w:tplc="4692C3C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4746818"/>
    <w:multiLevelType w:val="hybridMultilevel"/>
    <w:tmpl w:val="6E14673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6C79B6"/>
    <w:multiLevelType w:val="multilevel"/>
    <w:tmpl w:val="04EC5066"/>
    <w:lvl w:ilvl="0">
      <w:start w:val="2"/>
      <w:numFmt w:val="decimal"/>
      <w:lvlText w:val="%1.0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3" w15:restartNumberingAfterBreak="0">
    <w:nsid w:val="7DF20132"/>
    <w:multiLevelType w:val="hybridMultilevel"/>
    <w:tmpl w:val="A14EC862"/>
    <w:lvl w:ilvl="0" w:tplc="56E03FB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47B37"/>
    <w:multiLevelType w:val="multilevel"/>
    <w:tmpl w:val="B7A01E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i/>
        <w:color w:val="5B9BD5" w:themeColor="accent5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i/>
        <w:color w:val="5B9BD5" w:themeColor="accent5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  <w:b w:val="0"/>
      </w:rPr>
    </w:lvl>
  </w:abstractNum>
  <w:num w:numId="1">
    <w:abstractNumId w:val="1"/>
  </w:num>
  <w:num w:numId="2">
    <w:abstractNumId w:val="44"/>
  </w:num>
  <w:num w:numId="3">
    <w:abstractNumId w:val="7"/>
  </w:num>
  <w:num w:numId="4">
    <w:abstractNumId w:val="23"/>
  </w:num>
  <w:num w:numId="5">
    <w:abstractNumId w:val="2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30"/>
  </w:num>
  <w:num w:numId="11">
    <w:abstractNumId w:val="38"/>
  </w:num>
  <w:num w:numId="12">
    <w:abstractNumId w:val="35"/>
  </w:num>
  <w:num w:numId="13">
    <w:abstractNumId w:val="8"/>
  </w:num>
  <w:num w:numId="14">
    <w:abstractNumId w:val="41"/>
  </w:num>
  <w:num w:numId="15">
    <w:abstractNumId w:val="14"/>
  </w:num>
  <w:num w:numId="16">
    <w:abstractNumId w:val="36"/>
  </w:num>
  <w:num w:numId="17">
    <w:abstractNumId w:val="22"/>
  </w:num>
  <w:num w:numId="18">
    <w:abstractNumId w:val="2"/>
  </w:num>
  <w:num w:numId="19">
    <w:abstractNumId w:val="25"/>
  </w:num>
  <w:num w:numId="20">
    <w:abstractNumId w:val="4"/>
  </w:num>
  <w:num w:numId="21">
    <w:abstractNumId w:val="21"/>
  </w:num>
  <w:num w:numId="22">
    <w:abstractNumId w:val="39"/>
  </w:num>
  <w:num w:numId="23">
    <w:abstractNumId w:val="40"/>
  </w:num>
  <w:num w:numId="24">
    <w:abstractNumId w:val="11"/>
  </w:num>
  <w:num w:numId="25">
    <w:abstractNumId w:val="26"/>
  </w:num>
  <w:num w:numId="26">
    <w:abstractNumId w:val="27"/>
  </w:num>
  <w:num w:numId="27">
    <w:abstractNumId w:val="24"/>
  </w:num>
  <w:num w:numId="28">
    <w:abstractNumId w:val="43"/>
  </w:num>
  <w:num w:numId="29">
    <w:abstractNumId w:val="13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18"/>
  </w:num>
  <w:num w:numId="35">
    <w:abstractNumId w:val="37"/>
  </w:num>
  <w:num w:numId="36">
    <w:abstractNumId w:val="42"/>
  </w:num>
  <w:num w:numId="37">
    <w:abstractNumId w:val="3"/>
  </w:num>
  <w:num w:numId="38">
    <w:abstractNumId w:val="29"/>
  </w:num>
  <w:num w:numId="39">
    <w:abstractNumId w:val="31"/>
  </w:num>
  <w:num w:numId="40">
    <w:abstractNumId w:val="34"/>
  </w:num>
  <w:num w:numId="41">
    <w:abstractNumId w:val="12"/>
  </w:num>
  <w:num w:numId="42">
    <w:abstractNumId w:val="6"/>
  </w:num>
  <w:num w:numId="43">
    <w:abstractNumId w:val="10"/>
  </w:num>
  <w:num w:numId="44">
    <w:abstractNumId w:val="3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59"/>
    <w:rsid w:val="00001CB5"/>
    <w:rsid w:val="00031655"/>
    <w:rsid w:val="00057EB4"/>
    <w:rsid w:val="000A60ED"/>
    <w:rsid w:val="000D3BA4"/>
    <w:rsid w:val="000E09B6"/>
    <w:rsid w:val="000E1974"/>
    <w:rsid w:val="000E1D63"/>
    <w:rsid w:val="000F5632"/>
    <w:rsid w:val="00102D4B"/>
    <w:rsid w:val="001052C6"/>
    <w:rsid w:val="00112A7A"/>
    <w:rsid w:val="00130186"/>
    <w:rsid w:val="001467D5"/>
    <w:rsid w:val="00182785"/>
    <w:rsid w:val="001A13DB"/>
    <w:rsid w:val="001A30F0"/>
    <w:rsid w:val="001C2785"/>
    <w:rsid w:val="001D7043"/>
    <w:rsid w:val="001F135B"/>
    <w:rsid w:val="0020003F"/>
    <w:rsid w:val="00214B7B"/>
    <w:rsid w:val="00237FDC"/>
    <w:rsid w:val="002419A7"/>
    <w:rsid w:val="002429B7"/>
    <w:rsid w:val="002534D5"/>
    <w:rsid w:val="00275058"/>
    <w:rsid w:val="002827B0"/>
    <w:rsid w:val="002D492C"/>
    <w:rsid w:val="002D4FCB"/>
    <w:rsid w:val="002F35A4"/>
    <w:rsid w:val="002F47DE"/>
    <w:rsid w:val="0035081F"/>
    <w:rsid w:val="003629F6"/>
    <w:rsid w:val="0038187A"/>
    <w:rsid w:val="003A7E99"/>
    <w:rsid w:val="003E129E"/>
    <w:rsid w:val="003E2AA1"/>
    <w:rsid w:val="003F74F7"/>
    <w:rsid w:val="00411FA2"/>
    <w:rsid w:val="0042712C"/>
    <w:rsid w:val="00436F76"/>
    <w:rsid w:val="004519CB"/>
    <w:rsid w:val="00480FAD"/>
    <w:rsid w:val="00482BD4"/>
    <w:rsid w:val="00483582"/>
    <w:rsid w:val="00493604"/>
    <w:rsid w:val="004A4A62"/>
    <w:rsid w:val="004B48DA"/>
    <w:rsid w:val="004D05F1"/>
    <w:rsid w:val="005424D8"/>
    <w:rsid w:val="005530E6"/>
    <w:rsid w:val="00566ECF"/>
    <w:rsid w:val="005731B6"/>
    <w:rsid w:val="00573967"/>
    <w:rsid w:val="0058281D"/>
    <w:rsid w:val="00586726"/>
    <w:rsid w:val="005A0882"/>
    <w:rsid w:val="005A3DB3"/>
    <w:rsid w:val="005B0DF4"/>
    <w:rsid w:val="005C7BB5"/>
    <w:rsid w:val="005D4F67"/>
    <w:rsid w:val="005E45B1"/>
    <w:rsid w:val="005F4A27"/>
    <w:rsid w:val="0060083D"/>
    <w:rsid w:val="00600A81"/>
    <w:rsid w:val="006106F8"/>
    <w:rsid w:val="006245F0"/>
    <w:rsid w:val="006427DF"/>
    <w:rsid w:val="0064352F"/>
    <w:rsid w:val="00657027"/>
    <w:rsid w:val="0068519D"/>
    <w:rsid w:val="006A7D59"/>
    <w:rsid w:val="006B6B2F"/>
    <w:rsid w:val="006C1886"/>
    <w:rsid w:val="006D59DD"/>
    <w:rsid w:val="006D66A7"/>
    <w:rsid w:val="006F06A7"/>
    <w:rsid w:val="00702251"/>
    <w:rsid w:val="0070497F"/>
    <w:rsid w:val="00723352"/>
    <w:rsid w:val="00750B3B"/>
    <w:rsid w:val="00752E76"/>
    <w:rsid w:val="00753097"/>
    <w:rsid w:val="00760940"/>
    <w:rsid w:val="007624BE"/>
    <w:rsid w:val="007B5AF6"/>
    <w:rsid w:val="007B6F78"/>
    <w:rsid w:val="007C0544"/>
    <w:rsid w:val="007D06F2"/>
    <w:rsid w:val="007D17B8"/>
    <w:rsid w:val="007E7415"/>
    <w:rsid w:val="00816CEB"/>
    <w:rsid w:val="00830920"/>
    <w:rsid w:val="00835147"/>
    <w:rsid w:val="00874466"/>
    <w:rsid w:val="00882056"/>
    <w:rsid w:val="008A7914"/>
    <w:rsid w:val="008C2E62"/>
    <w:rsid w:val="008C4443"/>
    <w:rsid w:val="008D063A"/>
    <w:rsid w:val="008E44B5"/>
    <w:rsid w:val="008F3571"/>
    <w:rsid w:val="00901C7A"/>
    <w:rsid w:val="009033E4"/>
    <w:rsid w:val="00910C7D"/>
    <w:rsid w:val="00930AA7"/>
    <w:rsid w:val="0094089E"/>
    <w:rsid w:val="00957C97"/>
    <w:rsid w:val="00976E04"/>
    <w:rsid w:val="00991E54"/>
    <w:rsid w:val="00993D44"/>
    <w:rsid w:val="009A2561"/>
    <w:rsid w:val="009B2CD6"/>
    <w:rsid w:val="009C0CB5"/>
    <w:rsid w:val="009C4026"/>
    <w:rsid w:val="009F51AC"/>
    <w:rsid w:val="00A11B15"/>
    <w:rsid w:val="00A24D7D"/>
    <w:rsid w:val="00A51600"/>
    <w:rsid w:val="00A77B4A"/>
    <w:rsid w:val="00A80571"/>
    <w:rsid w:val="00A920DA"/>
    <w:rsid w:val="00A9223F"/>
    <w:rsid w:val="00AA618F"/>
    <w:rsid w:val="00AA714B"/>
    <w:rsid w:val="00AA77D2"/>
    <w:rsid w:val="00AB3EFE"/>
    <w:rsid w:val="00AD3351"/>
    <w:rsid w:val="00AE3DF3"/>
    <w:rsid w:val="00B16FD5"/>
    <w:rsid w:val="00B25CF4"/>
    <w:rsid w:val="00B27CA6"/>
    <w:rsid w:val="00B516E8"/>
    <w:rsid w:val="00B7358B"/>
    <w:rsid w:val="00B80AC6"/>
    <w:rsid w:val="00B8602C"/>
    <w:rsid w:val="00B92FEB"/>
    <w:rsid w:val="00B94555"/>
    <w:rsid w:val="00BA2BAF"/>
    <w:rsid w:val="00BA2D08"/>
    <w:rsid w:val="00BD348B"/>
    <w:rsid w:val="00BD55DC"/>
    <w:rsid w:val="00BF41CD"/>
    <w:rsid w:val="00C174D9"/>
    <w:rsid w:val="00C17B0D"/>
    <w:rsid w:val="00C21F93"/>
    <w:rsid w:val="00C34E98"/>
    <w:rsid w:val="00C43B31"/>
    <w:rsid w:val="00C45CB5"/>
    <w:rsid w:val="00C66533"/>
    <w:rsid w:val="00C93193"/>
    <w:rsid w:val="00CA597E"/>
    <w:rsid w:val="00CC41B0"/>
    <w:rsid w:val="00CF0BA9"/>
    <w:rsid w:val="00CF73ED"/>
    <w:rsid w:val="00D55077"/>
    <w:rsid w:val="00D65477"/>
    <w:rsid w:val="00DD0737"/>
    <w:rsid w:val="00E31447"/>
    <w:rsid w:val="00E35851"/>
    <w:rsid w:val="00E41B4D"/>
    <w:rsid w:val="00E611B7"/>
    <w:rsid w:val="00E83F30"/>
    <w:rsid w:val="00E87458"/>
    <w:rsid w:val="00EE56A1"/>
    <w:rsid w:val="00F30F8F"/>
    <w:rsid w:val="00F36842"/>
    <w:rsid w:val="00F63F80"/>
    <w:rsid w:val="00F66CED"/>
    <w:rsid w:val="00F77E8C"/>
    <w:rsid w:val="00F9570D"/>
    <w:rsid w:val="00F96699"/>
    <w:rsid w:val="00FA469F"/>
    <w:rsid w:val="00FD4525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6E949"/>
  <w15:chartTrackingRefBased/>
  <w15:docId w15:val="{3106893A-8155-4983-99CE-8F55572C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D59"/>
    <w:pPr>
      <w:spacing w:before="100" w:after="1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A7D59"/>
    <w:pPr>
      <w:keepNext/>
      <w:keepLines/>
      <w:shd w:val="clear" w:color="auto" w:fill="0D0D0D"/>
      <w:outlineLvl w:val="0"/>
    </w:pPr>
    <w:rPr>
      <w:b/>
      <w:bCs/>
      <w:sz w:val="40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6A7D59"/>
    <w:pPr>
      <w:keepNext/>
      <w:keepLines/>
      <w:shd w:val="clear" w:color="auto" w:fill="595959" w:themeFill="text1" w:themeFillTint="A6"/>
      <w:spacing w:before="200"/>
      <w:outlineLvl w:val="1"/>
    </w:pPr>
    <w:rPr>
      <w:b/>
      <w:bCs/>
      <w:color w:val="FFFFFF" w:themeColor="background1"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A7D59"/>
    <w:pPr>
      <w:keepNext/>
      <w:keepLines/>
      <w:spacing w:before="200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D59"/>
    <w:rPr>
      <w:rFonts w:ascii="Calibri" w:eastAsia="Times New Roman" w:hAnsi="Calibri" w:cs="Times New Roman"/>
      <w:b/>
      <w:bCs/>
      <w:sz w:val="40"/>
      <w:szCs w:val="30"/>
      <w:shd w:val="clear" w:color="auto" w:fill="0D0D0D"/>
    </w:rPr>
  </w:style>
  <w:style w:type="character" w:customStyle="1" w:styleId="Heading2Char">
    <w:name w:val="Heading 2 Char"/>
    <w:basedOn w:val="DefaultParagraphFont"/>
    <w:link w:val="Heading2"/>
    <w:rsid w:val="006A7D59"/>
    <w:rPr>
      <w:rFonts w:ascii="Calibri" w:eastAsia="Times New Roman" w:hAnsi="Calibri" w:cs="Times New Roman"/>
      <w:b/>
      <w:bCs/>
      <w:color w:val="FFFFFF" w:themeColor="background1"/>
      <w:sz w:val="30"/>
      <w:szCs w:val="26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6A7D59"/>
    <w:rPr>
      <w:rFonts w:ascii="Calibri" w:eastAsia="Times New Roman" w:hAnsi="Calibri" w:cs="Times New Roman"/>
      <w:b/>
      <w:bCs/>
      <w:sz w:val="26"/>
      <w:szCs w:val="20"/>
    </w:rPr>
  </w:style>
  <w:style w:type="paragraph" w:styleId="Header">
    <w:name w:val="header"/>
    <w:basedOn w:val="Normal"/>
    <w:link w:val="HeaderChar"/>
    <w:uiPriority w:val="99"/>
    <w:rsid w:val="006A7D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D59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6A7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D59"/>
    <w:rPr>
      <w:color w:val="0000FF"/>
      <w:u w:val="single"/>
    </w:rPr>
  </w:style>
  <w:style w:type="paragraph" w:customStyle="1" w:styleId="Default">
    <w:name w:val="Default"/>
    <w:rsid w:val="006A7D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Normal1">
    <w:name w:val="Normal1"/>
    <w:rsid w:val="006A7D59"/>
    <w:pPr>
      <w:spacing w:after="0" w:line="276" w:lineRule="auto"/>
    </w:pPr>
    <w:rPr>
      <w:rFonts w:ascii="Arial" w:eastAsia="Arial" w:hAnsi="Arial" w:cs="Arial"/>
      <w:color w:val="000000"/>
      <w:lang w:eastAsia="en-AU"/>
    </w:rPr>
  </w:style>
  <w:style w:type="paragraph" w:customStyle="1" w:styleId="PolicyBodyText">
    <w:name w:val="Policy Body Text"/>
    <w:rsid w:val="006A7D59"/>
    <w:pPr>
      <w:spacing w:after="200" w:line="252" w:lineRule="auto"/>
    </w:pPr>
    <w:rPr>
      <w:rFonts w:ascii="Verdana" w:eastAsia="Times New Roman" w:hAnsi="Verdana" w:cstheme="majorBid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6A7D59"/>
    <w:pPr>
      <w:spacing w:beforeAutospacing="1" w:afterAutospacing="1"/>
    </w:pPr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6A7D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A7D59"/>
    <w:rPr>
      <w:rFonts w:ascii="Calibri" w:eastAsia="Times New Roman" w:hAnsi="Calibri" w:cs="Times New Roman"/>
      <w:szCs w:val="20"/>
    </w:rPr>
  </w:style>
  <w:style w:type="character" w:styleId="PageNumber">
    <w:name w:val="page number"/>
    <w:basedOn w:val="DefaultParagraphFont"/>
    <w:rsid w:val="006A7D59"/>
  </w:style>
  <w:style w:type="character" w:styleId="CommentReference">
    <w:name w:val="annotation reference"/>
    <w:basedOn w:val="DefaultParagraphFont"/>
    <w:uiPriority w:val="99"/>
    <w:semiHidden/>
    <w:rsid w:val="00573967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7B0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17B0D"/>
    <w:pPr>
      <w:numPr>
        <w:numId w:val="31"/>
      </w:numPr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0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08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8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65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edd.act.gov.au/__data/assets/pdf_file/0004/1045984/Governance-Principles-2017-FINAL.pdf" TargetMode="External"/><Relationship Id="rId13" Type="http://schemas.openxmlformats.org/officeDocument/2006/relationships/hyperlink" Target="mailto:EPSDDComms@act.gov.au" TargetMode="External"/><Relationship Id="rId18" Type="http://schemas.openxmlformats.org/officeDocument/2006/relationships/hyperlink" Target="https://actgovernment.sharepoint.com/:w:/r/sites/Intranet-EPSDD/_layouts/15/Doc.aspx?sourcedoc=%7BE55590CE-E52A-4522-A2B4-F7C58CD5A261%7D&amp;file=Approval%20of%20instruments%20form.docx&amp;action=default&amp;mobileredirect=true&amp;DefaultItemOpen=1" TargetMode="External"/><Relationship Id="rId26" Type="http://schemas.openxmlformats.org/officeDocument/2006/relationships/hyperlink" Target="http://legislation.act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EPSDLegalServices@act.gov.a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PSDGovernmentServices@act.gov.au" TargetMode="External"/><Relationship Id="rId17" Type="http://schemas.openxmlformats.org/officeDocument/2006/relationships/hyperlink" Target="https://legislation.act.gov.au/" TargetMode="External"/><Relationship Id="rId25" Type="http://schemas.openxmlformats.org/officeDocument/2006/relationships/hyperlink" Target="https://objective.act.gov.au/id:fA615438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co.act.gov.au/library/Samples.pdf" TargetMode="External"/><Relationship Id="rId20" Type="http://schemas.openxmlformats.org/officeDocument/2006/relationships/hyperlink" Target="https://www.cmtedd.act.gov.au/__data/assets/pdf_file/0006/1189383/Cabinet_Handbook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SDLegalServices@act.gov.au" TargetMode="External"/><Relationship Id="rId24" Type="http://schemas.openxmlformats.org/officeDocument/2006/relationships/hyperlink" Target="mailto:http://www.pco.act.gov.au/pages/notifications/notifications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mtedd.act.gov.au/__data/assets/pdf_file/0004/1045984/Governance-Principles-2017-FINAL.pdf" TargetMode="External"/><Relationship Id="rId23" Type="http://schemas.openxmlformats.org/officeDocument/2006/relationships/hyperlink" Target="http://www.pco.act.gov.au" TargetMode="External"/><Relationship Id="rId28" Type="http://schemas.openxmlformats.org/officeDocument/2006/relationships/hyperlink" Target="mailto:https://www.cmtedd.act.gov.au/__data/assets/pdf_file/0006/1189383/Cabinet_Handbook.pdf" TargetMode="External"/><Relationship Id="rId10" Type="http://schemas.openxmlformats.org/officeDocument/2006/relationships/hyperlink" Target="https://www.cmtedd.act.gov.au/__data/assets/pdf_file/0004/1045984/Governance-Principles-2017-FINAL.pdf" TargetMode="External"/><Relationship Id="rId19" Type="http://schemas.openxmlformats.org/officeDocument/2006/relationships/hyperlink" Target="https://www.cmtedd.act.gov.au/__data/assets/pdf_file/0004/1045984/Governance-Principles-2017-FINAL.pd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mtedd.act.gov.au/__data/assets/pdf_file/0006/1189383/Cabinet_Handbook.pdf" TargetMode="External"/><Relationship Id="rId14" Type="http://schemas.openxmlformats.org/officeDocument/2006/relationships/hyperlink" Target="https://objective.act.gov.au/id:fA6154383" TargetMode="External"/><Relationship Id="rId22" Type="http://schemas.openxmlformats.org/officeDocument/2006/relationships/hyperlink" Target="mailto:EPSDLegalServices@act.gov.au" TargetMode="External"/><Relationship Id="rId27" Type="http://schemas.openxmlformats.org/officeDocument/2006/relationships/hyperlink" Target="https://www.cmtedd.act.gov.au/__data/assets/pdf_file/0004/1045984/Governance-Principles-2017-FINAL.pdf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A1AC-D24A-4CD8-AF06-3E41DEAB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Thomson, Josh</cp:lastModifiedBy>
  <cp:revision>134</cp:revision>
  <dcterms:created xsi:type="dcterms:W3CDTF">2019-06-27T00:55:00Z</dcterms:created>
  <dcterms:modified xsi:type="dcterms:W3CDTF">2019-08-29T22:57:00Z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A20336757</vt:lpwstr>
  </property>
  <property fmtid="{D5CDD505-2E9C-101B-9397-08002B2CF9AE}" pid="4" name="Objective-Title">
    <vt:lpwstr>Appointments SOP</vt:lpwstr>
  </property>
  <property fmtid="{D5CDD505-2E9C-101B-9397-08002B2CF9AE}" pid="5" name="Objective-Comment">
    <vt:lpwstr/>
  </property>
  <property fmtid="{D5CDD505-2E9C-101B-9397-08002B2CF9AE}" pid="6" name="Objective-CreationStamp">
    <vt:filetime>2019-06-27T01:19:29Z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2019-08-29T02:27:28Z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advices:Ad</vt:lpwstr>
  </property>
  <property fmtid="{D5CDD505-2E9C-101B-9397-08002B2CF9AE}" pid="13" name="Objective-Parent">
    <vt:lpwstr>19/22867 Standard Operating Procedures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23.1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>1-2019/22867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